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6E" w:rsidRPr="008E5893" w:rsidRDefault="003B586E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562"/>
        <w:gridCol w:w="8894"/>
      </w:tblGrid>
      <w:tr w:rsidR="00AB1F0A" w:rsidRPr="008E5893" w:rsidTr="00D74B66">
        <w:trPr>
          <w:trHeight w:val="556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FFCC"/>
            <w:vAlign w:val="center"/>
          </w:tcPr>
          <w:p w:rsidR="00AB1F0A" w:rsidRPr="008E5893" w:rsidRDefault="00AB1F0A" w:rsidP="00AB1F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893">
              <w:rPr>
                <w:rFonts w:ascii="Arial" w:hAnsi="Arial" w:cs="Arial"/>
                <w:b/>
                <w:bCs/>
                <w:sz w:val="24"/>
                <w:szCs w:val="24"/>
              </w:rPr>
              <w:t>PO.</w:t>
            </w:r>
            <w:r w:rsidR="00AD4E2A" w:rsidRPr="008E58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</w:t>
            </w:r>
            <w:r w:rsidRPr="008E58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</w:t>
            </w:r>
            <w:r w:rsidR="00AD4E2A" w:rsidRPr="008E5893">
              <w:rPr>
                <w:rFonts w:ascii="Arial" w:hAnsi="Arial" w:cs="Arial"/>
                <w:b/>
                <w:bCs/>
                <w:sz w:val="24"/>
                <w:szCs w:val="24"/>
              </w:rPr>
              <w:t>CONVIVENCIA</w:t>
            </w:r>
          </w:p>
        </w:tc>
      </w:tr>
      <w:tr w:rsidR="00D74B66" w:rsidRPr="008E5893" w:rsidTr="00D74B66">
        <w:trPr>
          <w:trHeight w:val="520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4B66" w:rsidRPr="008E5893" w:rsidRDefault="00D74B66" w:rsidP="00D74B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4907" w:rsidRPr="008E5893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4907" w:rsidRPr="008E5893" w:rsidRDefault="00D74B66" w:rsidP="00D74B66">
            <w:pPr>
              <w:jc w:val="right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  <w:color w:val="000000"/>
              </w:rPr>
              <w:t>Propietario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4907" w:rsidRPr="008E5893" w:rsidRDefault="00D74B66" w:rsidP="00D74B66">
            <w:pPr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  <w:color w:val="000000"/>
              </w:rPr>
              <w:t>Jefatura de estudios</w:t>
            </w:r>
            <w:r w:rsidR="00163B16" w:rsidRPr="008E589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70022B" w:rsidRPr="008E5893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0022B" w:rsidRPr="008E5893" w:rsidRDefault="0070022B" w:rsidP="0070022B">
            <w:pPr>
              <w:jc w:val="right"/>
              <w:rPr>
                <w:rFonts w:ascii="Arial" w:hAnsi="Arial" w:cs="Arial"/>
                <w:color w:val="000000"/>
              </w:rPr>
            </w:pPr>
            <w:r w:rsidRPr="008E5893">
              <w:rPr>
                <w:rFonts w:ascii="Arial" w:hAnsi="Arial" w:cs="Arial"/>
                <w:color w:val="000000"/>
              </w:rPr>
              <w:t>Procesos relacionados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0022B" w:rsidRPr="008E5893" w:rsidRDefault="0070022B" w:rsidP="0070022B">
            <w:pPr>
              <w:rPr>
                <w:rFonts w:ascii="Arial" w:hAnsi="Arial" w:cs="Arial"/>
                <w:color w:val="000000"/>
              </w:rPr>
            </w:pPr>
            <w:r w:rsidRPr="008E5893">
              <w:rPr>
                <w:rFonts w:ascii="Arial" w:hAnsi="Arial" w:cs="Arial"/>
                <w:color w:val="000000"/>
              </w:rPr>
              <w:t>PO</w:t>
            </w:r>
            <w:r w:rsidR="00AD4E2A" w:rsidRPr="008E5893">
              <w:rPr>
                <w:rFonts w:ascii="Arial" w:hAnsi="Arial" w:cs="Arial"/>
                <w:color w:val="000000"/>
              </w:rPr>
              <w:t xml:space="preserve">. </w:t>
            </w:r>
            <w:r w:rsidRPr="008E5893">
              <w:rPr>
                <w:rFonts w:ascii="Arial" w:hAnsi="Arial" w:cs="Arial"/>
                <w:color w:val="000000"/>
              </w:rPr>
              <w:t>1.</w:t>
            </w:r>
            <w:r w:rsidR="00A813B6" w:rsidRPr="008E5893">
              <w:rPr>
                <w:rFonts w:ascii="Arial" w:hAnsi="Arial" w:cs="Arial"/>
                <w:color w:val="000000"/>
              </w:rPr>
              <w:t>5.</w:t>
            </w:r>
            <w:r w:rsidR="00AD4E2A" w:rsidRPr="008E5893">
              <w:rPr>
                <w:rFonts w:ascii="Arial" w:hAnsi="Arial" w:cs="Arial"/>
                <w:color w:val="000000"/>
              </w:rPr>
              <w:t xml:space="preserve">  PO. 2.</w:t>
            </w:r>
          </w:p>
        </w:tc>
      </w:tr>
    </w:tbl>
    <w:p w:rsidR="00D74B66" w:rsidRPr="008E5893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D74B66" w:rsidRPr="008E5893" w:rsidTr="00D74B66">
        <w:tc>
          <w:tcPr>
            <w:tcW w:w="10456" w:type="dxa"/>
            <w:shd w:val="clear" w:color="auto" w:fill="D9D9D9" w:themeFill="background1" w:themeFillShade="D9"/>
          </w:tcPr>
          <w:p w:rsidR="00D74B66" w:rsidRPr="008E5893" w:rsidRDefault="00D74B66" w:rsidP="0039490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8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Subproceso </w:t>
            </w:r>
            <w:r w:rsidR="0001377B">
              <w:rPr>
                <w:rFonts w:ascii="Arial" w:hAnsi="Arial" w:cs="Arial"/>
                <w:b/>
                <w:bCs/>
                <w:sz w:val="24"/>
                <w:szCs w:val="24"/>
              </w:rPr>
              <w:t>PO. 3.</w:t>
            </w:r>
            <w:r w:rsidRPr="008E5893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</w:tr>
      <w:tr w:rsidR="00D74B66" w:rsidRPr="008E5893" w:rsidTr="008E5893">
        <w:trPr>
          <w:trHeight w:val="1342"/>
        </w:trPr>
        <w:tc>
          <w:tcPr>
            <w:tcW w:w="10456" w:type="dxa"/>
            <w:vAlign w:val="center"/>
          </w:tcPr>
          <w:p w:rsidR="0001377B" w:rsidRDefault="0001377B" w:rsidP="00D74B66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APLICACIÓN </w:t>
            </w:r>
          </w:p>
          <w:p w:rsidR="00D74B66" w:rsidRPr="008E5893" w:rsidRDefault="0001377B" w:rsidP="00D74B6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DE LAS NORMAS DE </w:t>
            </w:r>
            <w:r w:rsidR="00AD4E2A" w:rsidRPr="008E5893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CONVIVENCIA</w:t>
            </w:r>
          </w:p>
        </w:tc>
      </w:tr>
    </w:tbl>
    <w:p w:rsidR="00D74B66" w:rsidRPr="008E5893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562"/>
        <w:gridCol w:w="8894"/>
      </w:tblGrid>
      <w:tr w:rsidR="00D74B66" w:rsidRPr="008E5893" w:rsidTr="001C61A3">
        <w:trPr>
          <w:trHeight w:val="1996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74B66" w:rsidRPr="008E5893" w:rsidRDefault="00D74B66" w:rsidP="00163B16">
            <w:pPr>
              <w:jc w:val="right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1C61A3" w:rsidRPr="008E5893" w:rsidRDefault="001C61A3" w:rsidP="001C61A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rPr>
                <w:rFonts w:ascii="Arial" w:hAnsi="Arial" w:cs="Arial"/>
                <w:bCs/>
                <w:color w:val="000000"/>
              </w:rPr>
            </w:pPr>
            <w:r w:rsidRPr="008E5893">
              <w:rPr>
                <w:rFonts w:ascii="Arial" w:hAnsi="Arial" w:cs="Arial"/>
                <w:bCs/>
                <w:color w:val="000000"/>
              </w:rPr>
              <w:t>Favorece y garantiza un buen clima de convivencia dentro del centro</w:t>
            </w:r>
            <w:r w:rsidR="00721719">
              <w:rPr>
                <w:rFonts w:ascii="Arial" w:hAnsi="Arial" w:cs="Arial"/>
                <w:bCs/>
                <w:color w:val="000000"/>
              </w:rPr>
              <w:t>.</w:t>
            </w:r>
            <w:r w:rsidRPr="008E5893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1C61A3" w:rsidRPr="008E5893" w:rsidRDefault="001C61A3" w:rsidP="001C61A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rPr>
                <w:rFonts w:ascii="Arial" w:hAnsi="Arial" w:cs="Arial"/>
                <w:bCs/>
                <w:color w:val="000000"/>
              </w:rPr>
            </w:pPr>
            <w:r w:rsidRPr="008E5893">
              <w:rPr>
                <w:rFonts w:ascii="Arial" w:hAnsi="Arial" w:cs="Arial"/>
                <w:bCs/>
                <w:color w:val="000000"/>
              </w:rPr>
              <w:t xml:space="preserve">Fomenta la necesidad </w:t>
            </w:r>
            <w:r w:rsidR="00721719">
              <w:rPr>
                <w:rFonts w:ascii="Arial" w:hAnsi="Arial" w:cs="Arial"/>
                <w:bCs/>
                <w:color w:val="000000"/>
              </w:rPr>
              <w:t xml:space="preserve">del </w:t>
            </w:r>
            <w:r w:rsidRPr="008E5893">
              <w:rPr>
                <w:rFonts w:ascii="Arial" w:hAnsi="Arial" w:cs="Arial"/>
                <w:bCs/>
                <w:color w:val="000000"/>
              </w:rPr>
              <w:t>cumplimiento de leyes y normas de convivencia, dando a conocer los derechos y deberes del alumnado, así como las medidas correctoras aplicables en caso de incumplimiento</w:t>
            </w:r>
            <w:r w:rsidR="00721719">
              <w:rPr>
                <w:rFonts w:ascii="Arial" w:hAnsi="Arial" w:cs="Arial"/>
                <w:bCs/>
                <w:color w:val="000000"/>
              </w:rPr>
              <w:t>.</w:t>
            </w:r>
          </w:p>
          <w:p w:rsidR="001C61A3" w:rsidRPr="008E5893" w:rsidRDefault="001C61A3" w:rsidP="001C61A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rPr>
                <w:rFonts w:ascii="Arial" w:hAnsi="Arial" w:cs="Arial"/>
                <w:bCs/>
                <w:color w:val="000000"/>
              </w:rPr>
            </w:pPr>
            <w:r w:rsidRPr="008E5893">
              <w:rPr>
                <w:rFonts w:ascii="Arial" w:hAnsi="Arial" w:cs="Arial"/>
                <w:bCs/>
                <w:color w:val="000000"/>
              </w:rPr>
              <w:t>Previen</w:t>
            </w:r>
            <w:r w:rsidRPr="008E5893">
              <w:rPr>
                <w:rFonts w:ascii="Arial" w:hAnsi="Arial" w:cs="Arial"/>
                <w:bCs/>
              </w:rPr>
              <w:t>e</w:t>
            </w:r>
            <w:r w:rsidRPr="008E5893">
              <w:rPr>
                <w:rFonts w:ascii="Arial" w:hAnsi="Arial" w:cs="Arial"/>
                <w:bCs/>
                <w:color w:val="000000"/>
              </w:rPr>
              <w:t xml:space="preserve"> conflictos de convivencia y fomenta la resolución pacífica de los mismos</w:t>
            </w:r>
          </w:p>
          <w:p w:rsidR="001C61A3" w:rsidRPr="008E5893" w:rsidRDefault="001C61A3" w:rsidP="001C61A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rPr>
                <w:rFonts w:ascii="Arial" w:hAnsi="Arial" w:cs="Arial"/>
                <w:bCs/>
                <w:color w:val="000000"/>
              </w:rPr>
            </w:pPr>
            <w:r w:rsidRPr="008E5893">
              <w:rPr>
                <w:rFonts w:ascii="Arial" w:hAnsi="Arial" w:cs="Arial"/>
                <w:bCs/>
                <w:color w:val="000000"/>
              </w:rPr>
              <w:t>Implica a todos los miembros de la comunidad educativa</w:t>
            </w:r>
          </w:p>
          <w:p w:rsidR="00D74B66" w:rsidRDefault="001C61A3" w:rsidP="001C61A3">
            <w:pPr>
              <w:pStyle w:val="Prrafodelista"/>
              <w:numPr>
                <w:ilvl w:val="0"/>
                <w:numId w:val="17"/>
              </w:numPr>
              <w:ind w:left="397" w:hanging="397"/>
              <w:jc w:val="both"/>
              <w:rPr>
                <w:rFonts w:ascii="Arial" w:hAnsi="Arial" w:cs="Arial"/>
                <w:bCs/>
                <w:color w:val="000000"/>
              </w:rPr>
            </w:pPr>
            <w:r w:rsidRPr="008E5893">
              <w:rPr>
                <w:rFonts w:ascii="Arial" w:hAnsi="Arial" w:cs="Arial"/>
                <w:bCs/>
                <w:color w:val="000000"/>
              </w:rPr>
              <w:t>Colabora con las familias en el cumplimiento de las normas de convivencia.</w:t>
            </w:r>
          </w:p>
          <w:p w:rsidR="000E00C0" w:rsidRPr="008E5893" w:rsidRDefault="000E00C0" w:rsidP="001C61A3">
            <w:pPr>
              <w:pStyle w:val="Prrafodelista"/>
              <w:numPr>
                <w:ilvl w:val="0"/>
                <w:numId w:val="17"/>
              </w:numPr>
              <w:ind w:left="397" w:hanging="397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Evalúa la convivencia en el centro</w:t>
            </w:r>
          </w:p>
        </w:tc>
      </w:tr>
      <w:tr w:rsidR="00D74B66" w:rsidRPr="008E5893" w:rsidTr="00AD4E2A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74B66" w:rsidRPr="008E5893" w:rsidRDefault="00D74B66" w:rsidP="00163B16">
            <w:pPr>
              <w:jc w:val="right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74B66" w:rsidRPr="008E5893" w:rsidRDefault="00D74B66" w:rsidP="00AD4E2A">
            <w:pPr>
              <w:jc w:val="both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  <w:color w:val="000000"/>
              </w:rPr>
              <w:t>Profesorado</w:t>
            </w:r>
            <w:r w:rsidR="00AD4E2A" w:rsidRPr="008E5893">
              <w:rPr>
                <w:rFonts w:ascii="Arial" w:hAnsi="Arial" w:cs="Arial"/>
                <w:color w:val="000000"/>
              </w:rPr>
              <w:t>, jefatura de estudios y dirección.</w:t>
            </w:r>
          </w:p>
        </w:tc>
      </w:tr>
      <w:tr w:rsidR="00D74B66" w:rsidRPr="008E5893" w:rsidTr="00AD4E2A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74B66" w:rsidRPr="008E5893" w:rsidRDefault="00D74B66" w:rsidP="00163B16">
            <w:pPr>
              <w:jc w:val="right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74B66" w:rsidRPr="008E5893" w:rsidRDefault="00D74B66" w:rsidP="00D33128">
            <w:pPr>
              <w:jc w:val="both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  <w:color w:val="000000"/>
              </w:rPr>
              <w:t>Profesor</w:t>
            </w:r>
            <w:r w:rsidR="00D33128">
              <w:rPr>
                <w:rFonts w:ascii="Arial" w:hAnsi="Arial" w:cs="Arial"/>
                <w:color w:val="000000"/>
              </w:rPr>
              <w:t xml:space="preserve">/a, tutor/a, orientador, PTSC, </w:t>
            </w:r>
            <w:r w:rsidR="00AD4E2A" w:rsidRPr="008E5893">
              <w:rPr>
                <w:rFonts w:ascii="Arial" w:hAnsi="Arial" w:cs="Arial"/>
                <w:color w:val="000000"/>
              </w:rPr>
              <w:t>jefe/a de estudios y director/a</w:t>
            </w:r>
            <w:r w:rsidR="00163B16" w:rsidRPr="008E589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74B66" w:rsidRPr="008E5893" w:rsidTr="00AD4E2A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74B66" w:rsidRPr="008E5893" w:rsidRDefault="00D74B66" w:rsidP="00163B16">
            <w:pPr>
              <w:jc w:val="right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74B66" w:rsidRPr="008E5893" w:rsidRDefault="00AD4E2A" w:rsidP="00AD4E2A">
            <w:pPr>
              <w:jc w:val="both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  <w:color w:val="000000"/>
              </w:rPr>
              <w:t>Gestión diaria</w:t>
            </w:r>
            <w:r w:rsidR="00D74B66" w:rsidRPr="008E5893">
              <w:rPr>
                <w:rFonts w:ascii="Arial" w:hAnsi="Arial" w:cs="Arial"/>
                <w:color w:val="000000"/>
              </w:rPr>
              <w:t xml:space="preserve"> de septiembre a junio</w:t>
            </w:r>
            <w:r w:rsidR="00163B16" w:rsidRPr="008E5893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163B16" w:rsidRPr="008E5893" w:rsidRDefault="00163B16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163B16" w:rsidRPr="008E5893" w:rsidTr="00A813B6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163B16" w:rsidRPr="008E5893" w:rsidRDefault="00163B16" w:rsidP="00A813B6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E589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163B16" w:rsidRPr="008E5893" w:rsidTr="001C61A3">
        <w:trPr>
          <w:trHeight w:val="4247"/>
        </w:trPr>
        <w:tc>
          <w:tcPr>
            <w:tcW w:w="10456" w:type="dxa"/>
            <w:vAlign w:val="center"/>
          </w:tcPr>
          <w:p w:rsidR="00163B16" w:rsidRPr="008E5893" w:rsidRDefault="00163B16" w:rsidP="007E059D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58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Profesor</w:t>
            </w:r>
            <w:r w:rsidR="00AD4E2A" w:rsidRPr="008E58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/a, tutor/a</w:t>
            </w:r>
            <w:r w:rsidR="00D331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jefe/a de estudios o director</w:t>
            </w:r>
          </w:p>
          <w:p w:rsidR="00AD4E2A" w:rsidRPr="008E5893" w:rsidRDefault="00AD4E2A" w:rsidP="00163B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4E2A" w:rsidRPr="008E5893" w:rsidRDefault="00AD4E2A" w:rsidP="00AD4E2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893">
              <w:rPr>
                <w:rFonts w:ascii="Arial" w:hAnsi="Arial" w:cs="Arial"/>
                <w:b/>
                <w:color w:val="000000"/>
                <w:sz w:val="24"/>
                <w:szCs w:val="24"/>
              </w:rPr>
              <w:t>De</w:t>
            </w:r>
            <w:r w:rsidR="00AB3CB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tecta </w:t>
            </w:r>
            <w:r w:rsidRPr="008E5893">
              <w:rPr>
                <w:rFonts w:ascii="Arial" w:hAnsi="Arial" w:cs="Arial"/>
                <w:sz w:val="24"/>
                <w:szCs w:val="24"/>
              </w:rPr>
              <w:t>l</w:t>
            </w:r>
            <w:r w:rsidR="00D33128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8E58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3128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conducta</w:t>
            </w:r>
            <w:r w:rsidRPr="008E58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contraria</w:t>
            </w:r>
            <w:r w:rsidRPr="008E5893">
              <w:rPr>
                <w:rFonts w:ascii="Arial" w:hAnsi="Arial" w:cs="Arial"/>
                <w:color w:val="000000"/>
                <w:sz w:val="24"/>
                <w:szCs w:val="24"/>
              </w:rPr>
              <w:t xml:space="preserve"> a las normas de convivencia escolar.</w:t>
            </w:r>
          </w:p>
          <w:p w:rsidR="00AB0785" w:rsidRPr="00AB0785" w:rsidRDefault="00AD4E2A" w:rsidP="00AD4E2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893">
              <w:rPr>
                <w:rFonts w:ascii="Arial" w:hAnsi="Arial" w:cs="Arial"/>
                <w:b/>
                <w:color w:val="000000"/>
                <w:sz w:val="24"/>
                <w:szCs w:val="24"/>
              </w:rPr>
              <w:t>Tipifica</w:t>
            </w:r>
            <w:r w:rsidRPr="008E5893">
              <w:rPr>
                <w:rFonts w:ascii="Arial" w:hAnsi="Arial" w:cs="Arial"/>
                <w:color w:val="000000"/>
                <w:sz w:val="24"/>
                <w:szCs w:val="24"/>
              </w:rPr>
              <w:t xml:space="preserve"> la conducta contraria y </w:t>
            </w:r>
            <w:r w:rsidRPr="008E5893">
              <w:rPr>
                <w:rFonts w:ascii="Arial" w:hAnsi="Arial" w:cs="Arial"/>
                <w:b/>
                <w:sz w:val="24"/>
                <w:szCs w:val="24"/>
              </w:rPr>
              <w:t>aplica</w:t>
            </w:r>
            <w:r w:rsidRPr="008E58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la medida</w:t>
            </w:r>
            <w:r w:rsidRPr="008E5893">
              <w:rPr>
                <w:rFonts w:ascii="Arial" w:hAnsi="Arial" w:cs="Arial"/>
                <w:color w:val="000000"/>
                <w:sz w:val="24"/>
                <w:szCs w:val="24"/>
              </w:rPr>
              <w:t xml:space="preserve"> correctora a través de la aplicación </w:t>
            </w:r>
            <w:r w:rsidRPr="008E5893">
              <w:rPr>
                <w:rFonts w:ascii="Arial" w:hAnsi="Arial" w:cs="Arial"/>
                <w:b/>
                <w:color w:val="000000"/>
                <w:sz w:val="24"/>
                <w:szCs w:val="24"/>
              </w:rPr>
              <w:t>Plumier XXI/Convivencia</w:t>
            </w:r>
            <w:r w:rsidR="00AB0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</w:p>
          <w:p w:rsidR="001B2ED2" w:rsidRPr="001B2ED2" w:rsidRDefault="00AB0785" w:rsidP="00311F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1134" w:hanging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1CD">
              <w:rPr>
                <w:rFonts w:ascii="Arial" w:hAnsi="Arial" w:cs="Arial"/>
                <w:color w:val="000000"/>
                <w:sz w:val="24"/>
                <w:szCs w:val="24"/>
              </w:rPr>
              <w:t xml:space="preserve">Si se trata </w:t>
            </w:r>
            <w:r w:rsidR="007471F7" w:rsidRPr="004041CD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7471F7" w:rsidRPr="001B2ED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una falta leve</w:t>
            </w:r>
            <w:r w:rsidRPr="001B2ED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la medida </w:t>
            </w:r>
            <w:r w:rsidR="00890B9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correctora </w:t>
            </w:r>
            <w:r w:rsidRPr="004041CD">
              <w:rPr>
                <w:rFonts w:ascii="Arial" w:hAnsi="Arial" w:cs="Arial"/>
                <w:color w:val="000000"/>
                <w:sz w:val="24"/>
                <w:szCs w:val="24"/>
              </w:rPr>
              <w:t xml:space="preserve">podrá ser impuesta por </w:t>
            </w:r>
            <w:r w:rsidR="00311F27" w:rsidRPr="004041CD">
              <w:rPr>
                <w:rFonts w:ascii="Arial" w:hAnsi="Arial" w:cs="Arial"/>
                <w:color w:val="000000"/>
                <w:sz w:val="24"/>
                <w:szCs w:val="24"/>
              </w:rPr>
              <w:t>el</w:t>
            </w:r>
            <w:r w:rsidR="00311F27" w:rsidRPr="001B2ED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propio </w:t>
            </w:r>
            <w:r w:rsidRPr="001B2ED2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profesor</w:t>
            </w:r>
            <w:r w:rsidR="006A44BB" w:rsidRPr="001B2ED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1B2ED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tutor</w:t>
            </w:r>
            <w:r w:rsidR="006A44BB" w:rsidRPr="001B2ED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90B9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y/o jefe de estudios, </w:t>
            </w:r>
            <w:r w:rsidR="00890B98" w:rsidRPr="004041CD">
              <w:rPr>
                <w:rFonts w:ascii="Arial" w:hAnsi="Arial" w:cs="Arial"/>
                <w:color w:val="000000"/>
                <w:sz w:val="24"/>
                <w:szCs w:val="24"/>
              </w:rPr>
              <w:t>dependiendo del tipo de medida que se aplique</w:t>
            </w:r>
            <w:r w:rsidRPr="004041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1B2ED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041CD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="00B72349" w:rsidRPr="00F14CA3">
              <w:rPr>
                <w:rFonts w:ascii="Arial" w:hAnsi="Arial" w:cs="Arial"/>
                <w:color w:val="000000"/>
                <w:sz w:val="24"/>
                <w:szCs w:val="24"/>
              </w:rPr>
              <w:t>Ver</w:t>
            </w:r>
            <w:r w:rsidR="00B7234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Documentos</w:t>
            </w:r>
            <w:r w:rsidR="004041C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3 y 4)</w:t>
            </w:r>
          </w:p>
          <w:p w:rsidR="00311F27" w:rsidRPr="004041CD" w:rsidRDefault="00AB0785" w:rsidP="00311F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1134" w:hanging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1CD">
              <w:rPr>
                <w:rFonts w:ascii="Arial" w:hAnsi="Arial" w:cs="Arial"/>
                <w:color w:val="000000"/>
                <w:sz w:val="24"/>
                <w:szCs w:val="24"/>
              </w:rPr>
              <w:t xml:space="preserve">Si se trata de </w:t>
            </w:r>
            <w:r w:rsidRPr="001B2ED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una falta grave o muy grave, </w:t>
            </w:r>
            <w:r w:rsidRPr="002A3117"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 w:rsidR="004041CD" w:rsidRPr="002A3117">
              <w:rPr>
                <w:rFonts w:ascii="Arial" w:hAnsi="Arial" w:cs="Arial"/>
                <w:color w:val="000000"/>
                <w:sz w:val="24"/>
                <w:szCs w:val="24"/>
              </w:rPr>
              <w:t xml:space="preserve">aplicación de la </w:t>
            </w:r>
            <w:r w:rsidRPr="002A3117">
              <w:rPr>
                <w:rFonts w:ascii="Arial" w:hAnsi="Arial" w:cs="Arial"/>
                <w:color w:val="000000"/>
                <w:sz w:val="24"/>
                <w:szCs w:val="24"/>
              </w:rPr>
              <w:t xml:space="preserve">medida sancionadora será </w:t>
            </w:r>
            <w:r w:rsidR="004041CD" w:rsidRPr="002A3117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realizada </w:t>
            </w:r>
            <w:r w:rsidR="006A44BB" w:rsidRPr="002A3117">
              <w:rPr>
                <w:rFonts w:ascii="Arial" w:hAnsi="Arial" w:cs="Arial"/>
                <w:color w:val="000000"/>
                <w:sz w:val="24"/>
                <w:szCs w:val="24"/>
              </w:rPr>
              <w:t>siempre</w:t>
            </w:r>
            <w:r w:rsidR="006A44BB" w:rsidRPr="001B2ED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B2ED2">
              <w:rPr>
                <w:rFonts w:ascii="Arial" w:hAnsi="Arial" w:cs="Arial"/>
                <w:b/>
                <w:color w:val="000000"/>
                <w:sz w:val="24"/>
                <w:szCs w:val="24"/>
              </w:rPr>
              <w:t>por el director.</w:t>
            </w:r>
            <w:r w:rsidR="004041C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041CD" w:rsidRPr="004041CD">
              <w:rPr>
                <w:rFonts w:ascii="Arial" w:hAnsi="Arial" w:cs="Arial"/>
                <w:color w:val="000000"/>
                <w:sz w:val="24"/>
                <w:szCs w:val="24"/>
              </w:rPr>
              <w:t>Se seguirá el procedimiento establecido dependiendo de que se trate de hechos constatados por un profesor o de hechos no constatados.</w:t>
            </w:r>
            <w:r w:rsidR="00373A91">
              <w:rPr>
                <w:rFonts w:ascii="Arial" w:hAnsi="Arial" w:cs="Arial"/>
                <w:color w:val="000000"/>
                <w:sz w:val="24"/>
                <w:szCs w:val="24"/>
              </w:rPr>
              <w:t xml:space="preserve"> En este último caso, el director ordenará la incoación de un expediente</w:t>
            </w:r>
            <w:r w:rsidR="00B723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373A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D4E2A" w:rsidRPr="001B2ED2" w:rsidRDefault="00AD4E2A" w:rsidP="00AD4E2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F27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 a la familia</w:t>
            </w:r>
            <w:r w:rsidRPr="00311F27">
              <w:rPr>
                <w:rFonts w:ascii="Arial" w:hAnsi="Arial" w:cs="Arial"/>
                <w:color w:val="000000"/>
                <w:sz w:val="24"/>
                <w:szCs w:val="24"/>
              </w:rPr>
              <w:t xml:space="preserve"> del alumno</w:t>
            </w:r>
            <w:r w:rsidR="001B2ED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11F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B2ED2">
              <w:rPr>
                <w:rFonts w:ascii="Arial" w:hAnsi="Arial" w:cs="Arial"/>
                <w:color w:val="000000"/>
                <w:sz w:val="24"/>
                <w:szCs w:val="24"/>
              </w:rPr>
              <w:t xml:space="preserve">preferentemente, </w:t>
            </w:r>
            <w:r w:rsidRPr="00311F27">
              <w:rPr>
                <w:rFonts w:ascii="Arial" w:hAnsi="Arial" w:cs="Arial"/>
                <w:color w:val="000000"/>
                <w:sz w:val="24"/>
                <w:szCs w:val="24"/>
              </w:rPr>
              <w:t xml:space="preserve">mediante llamada </w:t>
            </w:r>
            <w:r w:rsidRPr="00311F27">
              <w:rPr>
                <w:rFonts w:ascii="Arial" w:hAnsi="Arial" w:cs="Arial"/>
                <w:b/>
                <w:color w:val="000000"/>
                <w:sz w:val="24"/>
                <w:szCs w:val="24"/>
              </w:rPr>
              <w:t>telefónica</w:t>
            </w:r>
            <w:r w:rsidR="001B2ED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Si no fuese posible contactar telefónicamente </w:t>
            </w:r>
            <w:r w:rsidR="001B2ED2" w:rsidRPr="001B2ED2">
              <w:rPr>
                <w:rFonts w:ascii="Arial" w:hAnsi="Arial" w:cs="Arial"/>
                <w:color w:val="000000"/>
                <w:sz w:val="24"/>
                <w:szCs w:val="24"/>
              </w:rPr>
              <w:t xml:space="preserve">se notificará a través de </w:t>
            </w:r>
            <w:r w:rsidRPr="001B2ED2">
              <w:rPr>
                <w:rFonts w:ascii="Arial" w:hAnsi="Arial" w:cs="Arial"/>
                <w:color w:val="000000"/>
                <w:sz w:val="24"/>
                <w:szCs w:val="24"/>
              </w:rPr>
              <w:t>SMS, Aula virtual o correo electrónico.</w:t>
            </w:r>
          </w:p>
          <w:p w:rsidR="00163B16" w:rsidRPr="002B4405" w:rsidRDefault="00AD4E2A" w:rsidP="00AD4E2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893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</w:t>
            </w:r>
            <w:r w:rsidRPr="008E5893">
              <w:rPr>
                <w:rFonts w:ascii="Arial" w:hAnsi="Arial" w:cs="Arial"/>
                <w:color w:val="000000"/>
                <w:sz w:val="24"/>
                <w:szCs w:val="24"/>
              </w:rPr>
              <w:t xml:space="preserve"> al </w:t>
            </w:r>
            <w:r w:rsidRPr="008E58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tutor</w:t>
            </w:r>
            <w:r w:rsidRPr="008E58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 jefatura de estudios</w:t>
            </w:r>
            <w:r w:rsidRPr="008E5893">
              <w:rPr>
                <w:rFonts w:ascii="Arial" w:hAnsi="Arial" w:cs="Arial"/>
                <w:color w:val="000000"/>
                <w:sz w:val="24"/>
                <w:szCs w:val="24"/>
              </w:rPr>
              <w:t xml:space="preserve">, así como </w:t>
            </w:r>
            <w:r w:rsidRPr="008E5893">
              <w:rPr>
                <w:rFonts w:ascii="Arial" w:hAnsi="Arial" w:cs="Arial"/>
                <w:b/>
                <w:color w:val="000000"/>
                <w:sz w:val="24"/>
                <w:szCs w:val="24"/>
              </w:rPr>
              <w:t>deja copia</w:t>
            </w:r>
            <w:r w:rsidRPr="008E5893">
              <w:rPr>
                <w:rFonts w:ascii="Arial" w:hAnsi="Arial" w:cs="Arial"/>
                <w:color w:val="000000"/>
                <w:sz w:val="24"/>
                <w:szCs w:val="24"/>
              </w:rPr>
              <w:t xml:space="preserve"> del </w:t>
            </w:r>
            <w:r w:rsidRPr="008E5893">
              <w:rPr>
                <w:rFonts w:ascii="Arial" w:hAnsi="Arial" w:cs="Arial"/>
                <w:b/>
                <w:color w:val="000000"/>
                <w:sz w:val="24"/>
                <w:szCs w:val="24"/>
              </w:rPr>
              <w:t>documento</w:t>
            </w:r>
            <w:r w:rsidRPr="008E5893">
              <w:rPr>
                <w:rFonts w:ascii="Arial" w:hAnsi="Arial" w:cs="Arial"/>
                <w:color w:val="000000"/>
                <w:sz w:val="24"/>
                <w:szCs w:val="24"/>
              </w:rPr>
              <w:t xml:space="preserve"> creado por </w:t>
            </w:r>
            <w:r w:rsidRPr="008E5893">
              <w:rPr>
                <w:rFonts w:ascii="Arial" w:hAnsi="Arial" w:cs="Arial"/>
                <w:b/>
                <w:color w:val="000000"/>
                <w:sz w:val="24"/>
                <w:szCs w:val="24"/>
              </w:rPr>
              <w:t>Plumier XXI</w:t>
            </w:r>
            <w:r w:rsidR="002B44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 ambos.</w:t>
            </w:r>
          </w:p>
          <w:p w:rsidR="002B4405" w:rsidRPr="002B4405" w:rsidRDefault="00D661D9" w:rsidP="00AD4E2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Requiere la intervención</w:t>
            </w:r>
            <w:r w:rsidR="002B44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="002B4405" w:rsidRPr="002B4405">
              <w:rPr>
                <w:rFonts w:ascii="Arial" w:hAnsi="Arial" w:cs="Arial"/>
                <w:color w:val="000000"/>
                <w:sz w:val="24"/>
                <w:szCs w:val="24"/>
              </w:rPr>
              <w:t xml:space="preserve">si fuese necesario,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2B4405" w:rsidRPr="002B4405">
              <w:rPr>
                <w:rFonts w:ascii="Arial" w:hAnsi="Arial" w:cs="Arial"/>
                <w:color w:val="000000"/>
                <w:sz w:val="24"/>
                <w:szCs w:val="24"/>
              </w:rPr>
              <w:t xml:space="preserve">l departamento de </w:t>
            </w:r>
            <w:r w:rsidR="002B4405" w:rsidRPr="002B4405">
              <w:rPr>
                <w:rFonts w:ascii="Arial" w:hAnsi="Arial" w:cs="Arial"/>
                <w:b/>
                <w:color w:val="000000"/>
                <w:sz w:val="24"/>
                <w:szCs w:val="24"/>
              </w:rPr>
              <w:t>Orientación y/o PTSC</w:t>
            </w:r>
            <w:r w:rsidR="002B4405" w:rsidRPr="002B4405">
              <w:rPr>
                <w:rFonts w:ascii="Arial" w:hAnsi="Arial" w:cs="Arial"/>
                <w:color w:val="000000"/>
                <w:sz w:val="24"/>
                <w:szCs w:val="24"/>
              </w:rPr>
              <w:t xml:space="preserve"> con el objeto de </w:t>
            </w:r>
            <w:r w:rsidR="00890B98">
              <w:rPr>
                <w:rFonts w:ascii="Arial" w:hAnsi="Arial" w:cs="Arial"/>
                <w:color w:val="000000"/>
                <w:sz w:val="24"/>
                <w:szCs w:val="24"/>
              </w:rPr>
              <w:t xml:space="preserve">mediar y </w:t>
            </w:r>
            <w:r w:rsidR="002B4405" w:rsidRPr="002B4405">
              <w:rPr>
                <w:rFonts w:ascii="Arial" w:hAnsi="Arial" w:cs="Arial"/>
                <w:color w:val="000000"/>
                <w:sz w:val="24"/>
                <w:szCs w:val="24"/>
              </w:rPr>
              <w:t>reconducir actitudes de determinados alumnos.</w:t>
            </w:r>
          </w:p>
          <w:p w:rsidR="001C61A3" w:rsidRPr="008E5893" w:rsidRDefault="001C61A3" w:rsidP="001C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C61A3" w:rsidRPr="008E5893" w:rsidRDefault="001C61A3" w:rsidP="001C61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893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Plazos de prescripción</w:t>
            </w:r>
            <w:r w:rsidRPr="008E5893">
              <w:rPr>
                <w:rFonts w:ascii="Arial" w:hAnsi="Arial" w:cs="Arial"/>
                <w:color w:val="000000"/>
                <w:sz w:val="24"/>
                <w:szCs w:val="24"/>
              </w:rPr>
              <w:t>: las faltas leves prescrib</w:t>
            </w:r>
            <w:r w:rsidRPr="008E5893">
              <w:rPr>
                <w:rFonts w:ascii="Arial" w:hAnsi="Arial" w:cs="Arial"/>
                <w:sz w:val="24"/>
                <w:szCs w:val="24"/>
              </w:rPr>
              <w:t>e</w:t>
            </w:r>
            <w:r w:rsidRPr="008E5893">
              <w:rPr>
                <w:rFonts w:ascii="Arial" w:hAnsi="Arial" w:cs="Arial"/>
                <w:color w:val="000000"/>
                <w:sz w:val="24"/>
                <w:szCs w:val="24"/>
              </w:rPr>
              <w:t xml:space="preserve">n en </w:t>
            </w:r>
            <w:r w:rsidRPr="008E589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8E5893">
              <w:rPr>
                <w:rFonts w:ascii="Arial" w:hAnsi="Arial" w:cs="Arial"/>
                <w:color w:val="000000"/>
                <w:sz w:val="24"/>
                <w:szCs w:val="24"/>
              </w:rPr>
              <w:t>plazo de un mes a partir de la fecha de los hechos producidos.</w:t>
            </w:r>
          </w:p>
        </w:tc>
      </w:tr>
    </w:tbl>
    <w:p w:rsidR="00394907" w:rsidRPr="008E5893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405" w:rsidRPr="008E5893" w:rsidRDefault="002B4405" w:rsidP="002B4405">
      <w:pPr>
        <w:shd w:val="clear" w:color="auto" w:fill="FBE4D5" w:themeFill="accent2" w:themeFillTint="3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Jefatura de Estudios</w:t>
      </w:r>
    </w:p>
    <w:p w:rsidR="002660B0" w:rsidRPr="002660B0" w:rsidRDefault="002660B0" w:rsidP="002B4405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60B0">
        <w:rPr>
          <w:rFonts w:ascii="Arial" w:hAnsi="Arial" w:cs="Arial"/>
          <w:sz w:val="24"/>
          <w:szCs w:val="24"/>
        </w:rPr>
        <w:t xml:space="preserve">Informa al </w:t>
      </w:r>
      <w:r w:rsidRPr="000C6774">
        <w:rPr>
          <w:rFonts w:ascii="Arial" w:hAnsi="Arial" w:cs="Arial"/>
          <w:b/>
          <w:sz w:val="24"/>
          <w:szCs w:val="24"/>
        </w:rPr>
        <w:t>tutor</w:t>
      </w:r>
      <w:r w:rsidRPr="002660B0">
        <w:rPr>
          <w:rFonts w:ascii="Arial" w:hAnsi="Arial" w:cs="Arial"/>
          <w:sz w:val="24"/>
          <w:szCs w:val="24"/>
        </w:rPr>
        <w:t xml:space="preserve">, </w:t>
      </w:r>
      <w:r w:rsidR="000C6774">
        <w:rPr>
          <w:rFonts w:ascii="Arial" w:hAnsi="Arial" w:cs="Arial"/>
          <w:sz w:val="24"/>
          <w:szCs w:val="24"/>
        </w:rPr>
        <w:t xml:space="preserve">a través de </w:t>
      </w:r>
      <w:r w:rsidR="000C6774" w:rsidRPr="000C6774">
        <w:rPr>
          <w:rFonts w:ascii="Arial" w:hAnsi="Arial" w:cs="Arial"/>
          <w:b/>
          <w:sz w:val="24"/>
          <w:szCs w:val="24"/>
        </w:rPr>
        <w:t>correo electrónico</w:t>
      </w:r>
      <w:r w:rsidR="000C6774">
        <w:rPr>
          <w:rFonts w:ascii="Arial" w:hAnsi="Arial" w:cs="Arial"/>
          <w:sz w:val="24"/>
          <w:szCs w:val="24"/>
        </w:rPr>
        <w:t xml:space="preserve"> y </w:t>
      </w:r>
      <w:r w:rsidRPr="002660B0">
        <w:rPr>
          <w:rFonts w:ascii="Arial" w:hAnsi="Arial" w:cs="Arial"/>
          <w:sz w:val="24"/>
          <w:szCs w:val="24"/>
        </w:rPr>
        <w:t xml:space="preserve">en caso de que la medida correctora aplicada sea la suspensión del derecho de asistencia al centro, del </w:t>
      </w:r>
      <w:r w:rsidRPr="000C6774">
        <w:rPr>
          <w:rFonts w:ascii="Arial" w:hAnsi="Arial" w:cs="Arial"/>
          <w:b/>
          <w:sz w:val="24"/>
          <w:szCs w:val="24"/>
        </w:rPr>
        <w:t>período</w:t>
      </w:r>
      <w:r w:rsidRPr="002660B0">
        <w:rPr>
          <w:rFonts w:ascii="Arial" w:hAnsi="Arial" w:cs="Arial"/>
          <w:sz w:val="24"/>
          <w:szCs w:val="24"/>
        </w:rPr>
        <w:t xml:space="preserve"> en el que el alumno se ausentará de las clases a fin de que </w:t>
      </w:r>
      <w:r w:rsidR="007855EA" w:rsidRPr="000C6774">
        <w:rPr>
          <w:rFonts w:ascii="Arial" w:hAnsi="Arial" w:cs="Arial"/>
          <w:b/>
          <w:sz w:val="24"/>
          <w:szCs w:val="24"/>
        </w:rPr>
        <w:t xml:space="preserve">informe a su </w:t>
      </w:r>
      <w:r w:rsidRPr="000C6774">
        <w:rPr>
          <w:rFonts w:ascii="Arial" w:hAnsi="Arial" w:cs="Arial"/>
          <w:b/>
          <w:sz w:val="24"/>
          <w:szCs w:val="24"/>
        </w:rPr>
        <w:t>equipo docente</w:t>
      </w:r>
      <w:r w:rsidR="007855EA">
        <w:rPr>
          <w:rFonts w:ascii="Arial" w:hAnsi="Arial" w:cs="Arial"/>
          <w:sz w:val="24"/>
          <w:szCs w:val="24"/>
        </w:rPr>
        <w:t xml:space="preserve"> y le solicite que </w:t>
      </w:r>
      <w:r w:rsidRPr="002660B0">
        <w:rPr>
          <w:rFonts w:ascii="Arial" w:hAnsi="Arial" w:cs="Arial"/>
          <w:sz w:val="24"/>
          <w:szCs w:val="24"/>
        </w:rPr>
        <w:t>consigne</w:t>
      </w:r>
      <w:r w:rsidR="007855EA">
        <w:rPr>
          <w:rFonts w:ascii="Arial" w:hAnsi="Arial" w:cs="Arial"/>
          <w:sz w:val="24"/>
          <w:szCs w:val="24"/>
        </w:rPr>
        <w:t>n</w:t>
      </w:r>
      <w:r w:rsidRPr="002660B0">
        <w:rPr>
          <w:rFonts w:ascii="Arial" w:hAnsi="Arial" w:cs="Arial"/>
          <w:sz w:val="24"/>
          <w:szCs w:val="24"/>
        </w:rPr>
        <w:t xml:space="preserve"> </w:t>
      </w:r>
      <w:r w:rsidR="000C6774">
        <w:rPr>
          <w:rFonts w:ascii="Arial" w:hAnsi="Arial" w:cs="Arial"/>
          <w:sz w:val="24"/>
          <w:szCs w:val="24"/>
        </w:rPr>
        <w:t xml:space="preserve">en plumier </w:t>
      </w:r>
      <w:r w:rsidRPr="002660B0">
        <w:rPr>
          <w:rFonts w:ascii="Arial" w:hAnsi="Arial" w:cs="Arial"/>
          <w:sz w:val="24"/>
          <w:szCs w:val="24"/>
        </w:rPr>
        <w:t xml:space="preserve">las faltas como </w:t>
      </w:r>
      <w:r w:rsidRPr="000C6774">
        <w:rPr>
          <w:rFonts w:ascii="Arial" w:hAnsi="Arial" w:cs="Arial"/>
          <w:b/>
          <w:sz w:val="24"/>
          <w:szCs w:val="24"/>
        </w:rPr>
        <w:t>faltas justificadas</w:t>
      </w:r>
      <w:r w:rsidRPr="002660B0">
        <w:rPr>
          <w:rFonts w:ascii="Arial" w:hAnsi="Arial" w:cs="Arial"/>
          <w:sz w:val="24"/>
          <w:szCs w:val="24"/>
        </w:rPr>
        <w:t xml:space="preserve"> </w:t>
      </w:r>
      <w:r w:rsidR="007855EA">
        <w:rPr>
          <w:rFonts w:ascii="Arial" w:hAnsi="Arial" w:cs="Arial"/>
          <w:sz w:val="24"/>
          <w:szCs w:val="24"/>
        </w:rPr>
        <w:t xml:space="preserve">así como que programen </w:t>
      </w:r>
      <w:r w:rsidRPr="002660B0">
        <w:rPr>
          <w:rFonts w:ascii="Arial" w:hAnsi="Arial" w:cs="Arial"/>
          <w:sz w:val="24"/>
          <w:szCs w:val="24"/>
        </w:rPr>
        <w:t>en el aula virtual, las tareas que debe realizar el alumno sancionado mientras permanece en su casa.</w:t>
      </w:r>
    </w:p>
    <w:p w:rsidR="00394907" w:rsidRPr="002B4405" w:rsidRDefault="002B4405" w:rsidP="002B4405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Elabora, al término de cada trimestre, un </w:t>
      </w:r>
      <w:r w:rsidRPr="00FB452C">
        <w:rPr>
          <w:rFonts w:ascii="Arial" w:hAnsi="Arial" w:cs="Arial"/>
          <w:b/>
          <w:sz w:val="24"/>
          <w:szCs w:val="24"/>
        </w:rPr>
        <w:t>informe de convivencia</w:t>
      </w:r>
      <w:r>
        <w:rPr>
          <w:rFonts w:ascii="Arial" w:hAnsi="Arial" w:cs="Arial"/>
          <w:sz w:val="24"/>
          <w:szCs w:val="24"/>
        </w:rPr>
        <w:t xml:space="preserve">, en el que se </w:t>
      </w:r>
      <w:r w:rsidR="00601E19">
        <w:rPr>
          <w:rFonts w:ascii="Arial" w:hAnsi="Arial" w:cs="Arial"/>
          <w:sz w:val="24"/>
          <w:szCs w:val="24"/>
        </w:rPr>
        <w:t xml:space="preserve">detalla el </w:t>
      </w:r>
      <w:r>
        <w:rPr>
          <w:rFonts w:ascii="Arial" w:hAnsi="Arial" w:cs="Arial"/>
          <w:sz w:val="24"/>
          <w:szCs w:val="24"/>
        </w:rPr>
        <w:t>total de registros de convivencia así como las medidas sancionadoras aplicadas.</w:t>
      </w:r>
    </w:p>
    <w:p w:rsidR="00E35C2D" w:rsidRDefault="00E35C2D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C2D" w:rsidRPr="008E5893" w:rsidRDefault="00E35C2D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884"/>
        <w:gridCol w:w="8711"/>
      </w:tblGrid>
      <w:tr w:rsidR="001C61A3" w:rsidRPr="008E5893" w:rsidTr="00DF3E13">
        <w:trPr>
          <w:trHeight w:val="6835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1C61A3" w:rsidRPr="008E5893" w:rsidRDefault="001C61A3" w:rsidP="001C61A3">
            <w:pPr>
              <w:jc w:val="right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1C61A3" w:rsidRPr="008E5893" w:rsidRDefault="001C61A3" w:rsidP="00332A0E">
            <w:pPr>
              <w:pStyle w:val="Prrafodelista"/>
              <w:numPr>
                <w:ilvl w:val="0"/>
                <w:numId w:val="19"/>
              </w:numPr>
              <w:ind w:left="397" w:hanging="397"/>
              <w:jc w:val="both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</w:rPr>
              <w:t>IES. BEN ARABI. Resumen de normas de convivencia del centro. Documento elaborado por Jefatura de Estudios. (Documento 1)</w:t>
            </w:r>
          </w:p>
          <w:p w:rsidR="001C61A3" w:rsidRPr="008E5893" w:rsidRDefault="001C61A3" w:rsidP="00332A0E">
            <w:pPr>
              <w:pStyle w:val="Prrafodelista"/>
              <w:ind w:left="397"/>
              <w:jc w:val="both"/>
              <w:rPr>
                <w:rFonts w:ascii="Arial" w:hAnsi="Arial" w:cs="Arial"/>
              </w:rPr>
            </w:pPr>
          </w:p>
          <w:p w:rsidR="001C61A3" w:rsidRPr="008E5893" w:rsidRDefault="001C61A3" w:rsidP="00332A0E">
            <w:pPr>
              <w:pStyle w:val="Prrafodelista"/>
              <w:numPr>
                <w:ilvl w:val="0"/>
                <w:numId w:val="19"/>
              </w:numPr>
              <w:ind w:left="397" w:hanging="397"/>
              <w:jc w:val="both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</w:rPr>
              <w:t>Plan de Convivencia. (Documento 2).</w:t>
            </w:r>
          </w:p>
          <w:p w:rsidR="001C61A3" w:rsidRPr="008E5893" w:rsidRDefault="001C61A3" w:rsidP="00332A0E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1C61A3" w:rsidRPr="008E5893" w:rsidRDefault="001C61A3" w:rsidP="00332A0E">
            <w:pPr>
              <w:pStyle w:val="Prrafodelista"/>
              <w:numPr>
                <w:ilvl w:val="0"/>
                <w:numId w:val="19"/>
              </w:numPr>
              <w:ind w:left="397" w:hanging="397"/>
              <w:jc w:val="both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</w:rPr>
              <w:t>IES. BEN ARABI. (Documento</w:t>
            </w:r>
            <w:r w:rsidR="001B2ED2">
              <w:rPr>
                <w:rFonts w:ascii="Arial" w:hAnsi="Arial" w:cs="Arial"/>
              </w:rPr>
              <w:t>s 3 y</w:t>
            </w:r>
            <w:r w:rsidRPr="008E5893">
              <w:rPr>
                <w:rFonts w:ascii="Arial" w:hAnsi="Arial" w:cs="Arial"/>
              </w:rPr>
              <w:t xml:space="preserve"> 4). Res</w:t>
            </w:r>
            <w:r w:rsidR="001B2ED2">
              <w:rPr>
                <w:rFonts w:ascii="Arial" w:hAnsi="Arial" w:cs="Arial"/>
              </w:rPr>
              <w:t xml:space="preserve">úmenes </w:t>
            </w:r>
            <w:r w:rsidRPr="008E5893">
              <w:rPr>
                <w:rFonts w:ascii="Arial" w:hAnsi="Arial" w:cs="Arial"/>
              </w:rPr>
              <w:t>elaborado</w:t>
            </w:r>
            <w:r w:rsidR="001B2ED2">
              <w:rPr>
                <w:rFonts w:ascii="Arial" w:hAnsi="Arial" w:cs="Arial"/>
              </w:rPr>
              <w:t>s</w:t>
            </w:r>
            <w:r w:rsidRPr="008E5893">
              <w:rPr>
                <w:rFonts w:ascii="Arial" w:hAnsi="Arial" w:cs="Arial"/>
              </w:rPr>
              <w:t xml:space="preserve"> por jefatura de estudios donde, sobre la base del Decreto nº 16/2016, de 9 de marzo, por el que se establecen las normas de convivencia en los centros docentes no universitarios sostenidos con fondos públicos de la Comunidad Autónoma de la Región de Murcia, recoge</w:t>
            </w:r>
            <w:r w:rsidR="001B2ED2">
              <w:rPr>
                <w:rFonts w:ascii="Arial" w:hAnsi="Arial" w:cs="Arial"/>
              </w:rPr>
              <w:t>n</w:t>
            </w:r>
            <w:r w:rsidRPr="008E5893">
              <w:rPr>
                <w:rFonts w:ascii="Arial" w:hAnsi="Arial" w:cs="Arial"/>
              </w:rPr>
              <w:t xml:space="preserve"> de modo abreviado, las distintas tipificaciones de conducta, las correspondientes medidas correctoras, así como: </w:t>
            </w:r>
          </w:p>
          <w:p w:rsidR="001C61A3" w:rsidRPr="008E5893" w:rsidRDefault="001C61A3" w:rsidP="00332A0E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1C61A3" w:rsidRPr="008E5893" w:rsidRDefault="001C61A3" w:rsidP="00332A0E">
            <w:pPr>
              <w:pStyle w:val="Prrafodelista"/>
              <w:numPr>
                <w:ilvl w:val="1"/>
                <w:numId w:val="20"/>
              </w:numPr>
              <w:ind w:left="964" w:hanging="397"/>
              <w:jc w:val="both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</w:rPr>
              <w:t>Quien debe aplicar las medidas correctoras; director/a, jefe/a de estudios, tutor, profesor.</w:t>
            </w:r>
          </w:p>
          <w:p w:rsidR="001C61A3" w:rsidRPr="008E5893" w:rsidRDefault="001C61A3" w:rsidP="00332A0E">
            <w:pPr>
              <w:pStyle w:val="Prrafodelista"/>
              <w:numPr>
                <w:ilvl w:val="1"/>
                <w:numId w:val="20"/>
              </w:numPr>
              <w:ind w:left="964" w:hanging="397"/>
              <w:jc w:val="both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</w:rPr>
              <w:t xml:space="preserve">Qué procedimientos deben observarse en hechos constatados y hechos no constatados. </w:t>
            </w:r>
          </w:p>
          <w:p w:rsidR="001C61A3" w:rsidRPr="008E5893" w:rsidRDefault="001C61A3" w:rsidP="00332A0E">
            <w:pPr>
              <w:pStyle w:val="Prrafodelista"/>
              <w:numPr>
                <w:ilvl w:val="1"/>
                <w:numId w:val="20"/>
              </w:numPr>
              <w:ind w:left="964" w:hanging="397"/>
              <w:jc w:val="both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</w:rPr>
              <w:t xml:space="preserve">Qué reclamaciones pueden establecerse en la ejecución de las medidas correctoras. </w:t>
            </w:r>
          </w:p>
          <w:p w:rsidR="001C61A3" w:rsidRPr="008E5893" w:rsidRDefault="001C61A3" w:rsidP="00332A0E">
            <w:pPr>
              <w:jc w:val="both"/>
              <w:rPr>
                <w:rFonts w:ascii="Arial" w:hAnsi="Arial" w:cs="Arial"/>
              </w:rPr>
            </w:pPr>
          </w:p>
          <w:p w:rsidR="001C61A3" w:rsidRPr="008E5893" w:rsidRDefault="001C61A3" w:rsidP="007126B7">
            <w:pPr>
              <w:pStyle w:val="Prrafodelista"/>
              <w:numPr>
                <w:ilvl w:val="0"/>
                <w:numId w:val="19"/>
              </w:numPr>
              <w:ind w:left="397" w:hanging="397"/>
              <w:jc w:val="both"/>
              <w:rPr>
                <w:rFonts w:ascii="Arial" w:hAnsi="Arial" w:cs="Arial"/>
              </w:rPr>
            </w:pPr>
            <w:r w:rsidRPr="008E5893">
              <w:rPr>
                <w:rFonts w:ascii="Arial" w:hAnsi="Arial" w:cs="Arial"/>
              </w:rPr>
              <w:t xml:space="preserve">Normas de Organización y Funcionamiento (NOF). (Documento 6) </w:t>
            </w:r>
          </w:p>
        </w:tc>
      </w:tr>
      <w:tr w:rsidR="001C61A3" w:rsidRPr="008E5893" w:rsidTr="00DF3E13">
        <w:trPr>
          <w:trHeight w:val="506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1C61A3" w:rsidRPr="00F14CA3" w:rsidRDefault="001C61A3" w:rsidP="001C61A3">
            <w:pPr>
              <w:jc w:val="right"/>
              <w:rPr>
                <w:rFonts w:ascii="Arial" w:hAnsi="Arial" w:cs="Arial"/>
              </w:rPr>
            </w:pPr>
            <w:r w:rsidRPr="00F14CA3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1C61A3" w:rsidRPr="00F14CA3" w:rsidRDefault="00AB3CBF" w:rsidP="0028270F">
            <w:pPr>
              <w:pStyle w:val="Prrafodelista"/>
              <w:numPr>
                <w:ilvl w:val="0"/>
                <w:numId w:val="22"/>
              </w:numPr>
              <w:ind w:left="384" w:hanging="384"/>
              <w:rPr>
                <w:rFonts w:ascii="Arial" w:hAnsi="Arial" w:cs="Arial"/>
              </w:rPr>
            </w:pPr>
            <w:r w:rsidRPr="00F14CA3">
              <w:rPr>
                <w:rFonts w:ascii="Arial" w:hAnsi="Arial" w:cs="Arial"/>
              </w:rPr>
              <w:t>Registro</w:t>
            </w:r>
            <w:r w:rsidR="00A4559D" w:rsidRPr="00F14CA3">
              <w:rPr>
                <w:rFonts w:ascii="Arial" w:hAnsi="Arial" w:cs="Arial"/>
              </w:rPr>
              <w:t>s</w:t>
            </w:r>
            <w:r w:rsidRPr="00F14CA3">
              <w:rPr>
                <w:rFonts w:ascii="Arial" w:hAnsi="Arial" w:cs="Arial"/>
              </w:rPr>
              <w:t xml:space="preserve"> de convivencia</w:t>
            </w:r>
            <w:r w:rsidR="00A4559D" w:rsidRPr="00F14CA3">
              <w:rPr>
                <w:rFonts w:ascii="Arial" w:hAnsi="Arial" w:cs="Arial"/>
              </w:rPr>
              <w:t>. E</w:t>
            </w:r>
            <w:r w:rsidRPr="00F14CA3">
              <w:rPr>
                <w:rFonts w:ascii="Arial" w:hAnsi="Arial" w:cs="Arial"/>
              </w:rPr>
              <w:t xml:space="preserve">n </w:t>
            </w:r>
            <w:r w:rsidR="00332A0E" w:rsidRPr="00F14CA3">
              <w:rPr>
                <w:rFonts w:ascii="Arial" w:hAnsi="Arial" w:cs="Arial"/>
              </w:rPr>
              <w:t>Plumier XXI / Convivencia</w:t>
            </w:r>
          </w:p>
          <w:p w:rsidR="002B4405" w:rsidRPr="00F14CA3" w:rsidRDefault="002B4405" w:rsidP="00871BDF">
            <w:pPr>
              <w:pStyle w:val="Prrafodelista"/>
              <w:numPr>
                <w:ilvl w:val="0"/>
                <w:numId w:val="22"/>
              </w:numPr>
              <w:ind w:left="384" w:hanging="384"/>
              <w:jc w:val="both"/>
              <w:rPr>
                <w:rFonts w:ascii="Arial" w:hAnsi="Arial" w:cs="Arial"/>
              </w:rPr>
            </w:pPr>
            <w:r w:rsidRPr="00F14CA3">
              <w:rPr>
                <w:rFonts w:ascii="Arial" w:hAnsi="Arial" w:cs="Arial"/>
              </w:rPr>
              <w:t>Informe trimestral de disciplina</w:t>
            </w:r>
            <w:r w:rsidR="0063366C" w:rsidRPr="00F14CA3">
              <w:rPr>
                <w:rFonts w:ascii="Arial" w:hAnsi="Arial" w:cs="Arial"/>
              </w:rPr>
              <w:t xml:space="preserve"> disponible en página web…blog de transparencia</w:t>
            </w:r>
            <w:r w:rsidR="00504955" w:rsidRPr="00F14CA3">
              <w:rPr>
                <w:rFonts w:ascii="Arial" w:hAnsi="Arial" w:cs="Arial"/>
              </w:rPr>
              <w:t>...Información...Disciplina</w:t>
            </w:r>
          </w:p>
          <w:p w:rsidR="00E35C2D" w:rsidRDefault="00E35C2D" w:rsidP="00E35C2D">
            <w:pPr>
              <w:pStyle w:val="Prrafodelista"/>
              <w:numPr>
                <w:ilvl w:val="0"/>
                <w:numId w:val="22"/>
              </w:numPr>
              <w:ind w:left="384" w:hanging="384"/>
              <w:jc w:val="both"/>
              <w:rPr>
                <w:rFonts w:ascii="Arial" w:hAnsi="Arial" w:cs="Arial"/>
              </w:rPr>
            </w:pPr>
            <w:r w:rsidRPr="00F14CA3">
              <w:rPr>
                <w:rFonts w:ascii="Arial" w:hAnsi="Arial" w:cs="Arial"/>
              </w:rPr>
              <w:t xml:space="preserve">Resumen </w:t>
            </w:r>
            <w:r w:rsidR="00D30569" w:rsidRPr="00F14CA3">
              <w:rPr>
                <w:rFonts w:ascii="Arial" w:hAnsi="Arial" w:cs="Arial"/>
              </w:rPr>
              <w:t xml:space="preserve">trimestral </w:t>
            </w:r>
            <w:r w:rsidRPr="00F14CA3">
              <w:rPr>
                <w:rFonts w:ascii="Arial" w:hAnsi="Arial" w:cs="Arial"/>
              </w:rPr>
              <w:t xml:space="preserve">de actitud y disciplina de cada grupo recogido en apartado A.3. de las actas de las sesiones de evaluación </w:t>
            </w:r>
          </w:p>
          <w:p w:rsidR="00F14CA3" w:rsidRPr="00F14CA3" w:rsidRDefault="00F14CA3" w:rsidP="00F14CA3">
            <w:pPr>
              <w:jc w:val="both"/>
              <w:rPr>
                <w:rFonts w:ascii="Arial" w:hAnsi="Arial" w:cs="Arial"/>
              </w:rPr>
            </w:pPr>
          </w:p>
        </w:tc>
      </w:tr>
      <w:tr w:rsidR="001C61A3" w:rsidRPr="008E5893" w:rsidTr="00DF3E13">
        <w:trPr>
          <w:trHeight w:val="1604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1C61A3" w:rsidRPr="00F14CA3" w:rsidRDefault="001C61A3" w:rsidP="001C61A3">
            <w:pPr>
              <w:jc w:val="right"/>
              <w:rPr>
                <w:rFonts w:ascii="Arial" w:hAnsi="Arial" w:cs="Arial"/>
              </w:rPr>
            </w:pPr>
            <w:r w:rsidRPr="00F14CA3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1C61A3" w:rsidRPr="00F14CA3" w:rsidRDefault="00332A0E" w:rsidP="00362198">
            <w:pPr>
              <w:pStyle w:val="Prrafodelista"/>
              <w:numPr>
                <w:ilvl w:val="0"/>
                <w:numId w:val="21"/>
              </w:numPr>
              <w:ind w:left="384" w:hanging="283"/>
              <w:jc w:val="both"/>
              <w:rPr>
                <w:rFonts w:ascii="Arial" w:hAnsi="Arial" w:cs="Arial"/>
              </w:rPr>
            </w:pPr>
            <w:r w:rsidRPr="00F14CA3">
              <w:rPr>
                <w:rFonts w:ascii="Arial" w:hAnsi="Arial" w:cs="Arial"/>
              </w:rPr>
              <w:t>Decreto nº 16/2016, de 9 de marzo</w:t>
            </w:r>
            <w:r w:rsidR="00362198" w:rsidRPr="00F14CA3">
              <w:rPr>
                <w:rFonts w:ascii="Arial" w:hAnsi="Arial" w:cs="Arial"/>
              </w:rPr>
              <w:t xml:space="preserve">, </w:t>
            </w:r>
            <w:r w:rsidR="00362198" w:rsidRPr="00F14CA3">
              <w:rPr>
                <w:rFonts w:ascii="Arial" w:hAnsi="Arial" w:cs="Arial"/>
                <w:i/>
              </w:rPr>
              <w:t>por el que se establecen las normas de convivencia en los centros docentes no universitarios sostenidos con fondos públicos de la Comunidad Autónoma de la Región de Murcia</w:t>
            </w:r>
          </w:p>
          <w:p w:rsidR="00332A0E" w:rsidRPr="00F14CA3" w:rsidRDefault="00332A0E" w:rsidP="00362198">
            <w:pPr>
              <w:pStyle w:val="Prrafodelista"/>
              <w:numPr>
                <w:ilvl w:val="0"/>
                <w:numId w:val="21"/>
              </w:numPr>
              <w:ind w:left="384" w:hanging="283"/>
              <w:jc w:val="both"/>
              <w:rPr>
                <w:rFonts w:ascii="Arial" w:hAnsi="Arial" w:cs="Arial"/>
              </w:rPr>
            </w:pPr>
            <w:r w:rsidRPr="00F14CA3">
              <w:rPr>
                <w:rFonts w:ascii="Arial" w:hAnsi="Arial" w:cs="Arial"/>
              </w:rPr>
              <w:t xml:space="preserve">Resolución de 20 de octubre de 2017, de la Secretaría General de la Consejería de Educación, Juventud </w:t>
            </w:r>
            <w:r w:rsidR="00362198" w:rsidRPr="00F14CA3">
              <w:rPr>
                <w:rFonts w:ascii="Arial" w:hAnsi="Arial" w:cs="Arial"/>
              </w:rPr>
              <w:t xml:space="preserve">y Deportes, </w:t>
            </w:r>
            <w:r w:rsidR="00362198" w:rsidRPr="00F14CA3">
              <w:rPr>
                <w:rFonts w:ascii="Arial" w:hAnsi="Arial" w:cs="Arial"/>
                <w:i/>
              </w:rPr>
              <w:t>para con padres, madres o tutores legales separados, divorciados o cuya convivencia haya cesado, respecto a la educación de sus hijos e hijas o tutelados, menores de edad</w:t>
            </w:r>
            <w:r w:rsidR="00362198" w:rsidRPr="00F14CA3">
              <w:rPr>
                <w:rFonts w:ascii="Arial" w:hAnsi="Arial" w:cs="Arial"/>
              </w:rPr>
              <w:t xml:space="preserve">. </w:t>
            </w:r>
          </w:p>
          <w:p w:rsidR="00332A0E" w:rsidRPr="00F14CA3" w:rsidRDefault="00332A0E" w:rsidP="00362198">
            <w:pPr>
              <w:pStyle w:val="Prrafodelista"/>
              <w:numPr>
                <w:ilvl w:val="0"/>
                <w:numId w:val="21"/>
              </w:numPr>
              <w:ind w:left="384" w:hanging="283"/>
              <w:rPr>
                <w:rFonts w:ascii="Arial" w:hAnsi="Arial" w:cs="Arial"/>
              </w:rPr>
            </w:pPr>
            <w:r w:rsidRPr="00F14CA3">
              <w:rPr>
                <w:rFonts w:ascii="Arial" w:hAnsi="Arial" w:cs="Arial"/>
              </w:rPr>
              <w:t>Ley Orgánica 2/2006, de 3 de mayo, de Educación.</w:t>
            </w:r>
          </w:p>
          <w:p w:rsidR="008D243F" w:rsidRPr="00F14CA3" w:rsidRDefault="008D243F" w:rsidP="008D243F">
            <w:pPr>
              <w:rPr>
                <w:rFonts w:ascii="Arial" w:hAnsi="Arial" w:cs="Arial"/>
              </w:rPr>
            </w:pPr>
          </w:p>
        </w:tc>
      </w:tr>
    </w:tbl>
    <w:p w:rsidR="00394907" w:rsidRPr="008E5893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22B" w:rsidRPr="008E5893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22B" w:rsidRPr="008E5893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0022B" w:rsidRPr="008E5893" w:rsidSect="00A813B6">
      <w:head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18" w:rsidRDefault="00653318" w:rsidP="00394907">
      <w:pPr>
        <w:spacing w:after="0" w:line="240" w:lineRule="auto"/>
      </w:pPr>
      <w:r>
        <w:separator/>
      </w:r>
    </w:p>
  </w:endnote>
  <w:endnote w:type="continuationSeparator" w:id="1">
    <w:p w:rsidR="00653318" w:rsidRDefault="00653318" w:rsidP="0039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18" w:rsidRDefault="00653318" w:rsidP="00394907">
      <w:pPr>
        <w:spacing w:after="0" w:line="240" w:lineRule="auto"/>
      </w:pPr>
      <w:r>
        <w:separator/>
      </w:r>
    </w:p>
  </w:footnote>
  <w:footnote w:type="continuationSeparator" w:id="1">
    <w:p w:rsidR="00653318" w:rsidRDefault="00653318" w:rsidP="0039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815"/>
      <w:gridCol w:w="2269"/>
      <w:gridCol w:w="4679"/>
      <w:gridCol w:w="1842"/>
      <w:gridCol w:w="1077"/>
    </w:tblGrid>
    <w:tr w:rsidR="00394907" w:rsidTr="00D74B66">
      <w:trPr>
        <w:trHeight w:val="558"/>
      </w:trPr>
      <w:tc>
        <w:tcPr>
          <w:tcW w:w="382" w:type="pct"/>
          <w:vMerge w:val="restart"/>
        </w:tcPr>
        <w:p w:rsidR="00394907" w:rsidRPr="002A0BDC" w:rsidRDefault="00394907" w:rsidP="00F561C6">
          <w:pPr>
            <w:pStyle w:val="Encabezado"/>
            <w:rPr>
              <w:sz w:val="8"/>
              <w:szCs w:val="8"/>
            </w:rPr>
          </w:pPr>
          <w:r w:rsidRPr="002A0BDC">
            <w:rPr>
              <w:noProof/>
              <w:sz w:val="8"/>
              <w:szCs w:val="8"/>
              <w:lang w:eastAsia="es-E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62230</wp:posOffset>
                </wp:positionV>
                <wp:extent cx="238760" cy="387985"/>
                <wp:effectExtent l="0" t="0" r="8890" b="0"/>
                <wp:wrapSquare wrapText="bothSides"/>
                <wp:docPr id="31" name="26 Imagen" descr="Logo-RM-al-eje-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M-al-eje-color (1).jpg"/>
                        <pic:cNvPicPr/>
                      </pic:nvPicPr>
                      <pic:blipFill>
                        <a:blip r:embed="rId1"/>
                        <a:srcRect l="22696" r="22421" b="145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2" w:type="pct"/>
          <w:vMerge w:val="restart"/>
          <w:vAlign w:val="center"/>
        </w:tcPr>
        <w:p w:rsidR="00394907" w:rsidRPr="00394907" w:rsidRDefault="00394907" w:rsidP="00394907">
          <w:pPr>
            <w:pStyle w:val="Encabezado"/>
            <w:rPr>
              <w:sz w:val="8"/>
              <w:szCs w:val="8"/>
            </w:rPr>
          </w:pPr>
          <w:r w:rsidRPr="002A0BDC">
            <w:rPr>
              <w:rFonts w:ascii="Arial" w:hAnsi="Arial" w:cs="Arial"/>
              <w:b/>
              <w:sz w:val="12"/>
              <w:szCs w:val="12"/>
            </w:rPr>
            <w:t>Consejería de Educación</w:t>
          </w:r>
          <w:r>
            <w:rPr>
              <w:rFonts w:ascii="Arial" w:hAnsi="Arial" w:cs="Arial"/>
              <w:b/>
              <w:sz w:val="12"/>
              <w:szCs w:val="12"/>
            </w:rPr>
            <w:t xml:space="preserve"> y </w:t>
          </w:r>
          <w:r w:rsidR="00BE5E39">
            <w:rPr>
              <w:rFonts w:ascii="Arial" w:hAnsi="Arial" w:cs="Arial"/>
              <w:b/>
              <w:sz w:val="12"/>
              <w:szCs w:val="12"/>
            </w:rPr>
            <w:t>Cultura</w:t>
          </w:r>
        </w:p>
      </w:tc>
      <w:tc>
        <w:tcPr>
          <w:tcW w:w="2190" w:type="pct"/>
        </w:tcPr>
        <w:p w:rsidR="00394907" w:rsidRDefault="00394907" w:rsidP="00F561C6">
          <w:pPr>
            <w:pStyle w:val="Encabezado"/>
          </w:pPr>
        </w:p>
      </w:tc>
      <w:tc>
        <w:tcPr>
          <w:tcW w:w="862" w:type="pct"/>
          <w:vMerge w:val="restart"/>
        </w:tcPr>
        <w:p w:rsidR="00394907" w:rsidRPr="00DC05BA" w:rsidRDefault="00394907" w:rsidP="00F561C6">
          <w:pPr>
            <w:pStyle w:val="Encabezado"/>
            <w:rPr>
              <w:sz w:val="4"/>
              <w:szCs w:val="4"/>
            </w:rPr>
          </w:pPr>
          <w:r w:rsidRPr="00DC05BA">
            <w:rPr>
              <w:noProof/>
              <w:sz w:val="4"/>
              <w:szCs w:val="4"/>
              <w:lang w:eastAsia="es-E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64770</wp:posOffset>
                </wp:positionV>
                <wp:extent cx="365125" cy="387985"/>
                <wp:effectExtent l="0" t="0" r="0" b="0"/>
                <wp:wrapSquare wrapText="bothSides"/>
                <wp:docPr id="35" name="34 Imagen" descr="descarg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 (1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" w:type="pct"/>
          <w:vMerge w:val="restart"/>
          <w:vAlign w:val="center"/>
        </w:tcPr>
        <w:p w:rsidR="00394907" w:rsidRDefault="00394907" w:rsidP="00F561C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375385" cy="375385"/>
                <wp:effectExtent l="0" t="0" r="5715" b="5715"/>
                <wp:docPr id="33" name="29 Imagen" descr="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29" cy="376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4907" w:rsidTr="00D74B66">
      <w:trPr>
        <w:trHeight w:val="269"/>
      </w:trPr>
      <w:tc>
        <w:tcPr>
          <w:tcW w:w="382" w:type="pct"/>
          <w:vMerge/>
        </w:tcPr>
        <w:p w:rsidR="00394907" w:rsidRDefault="00394907" w:rsidP="00F561C6">
          <w:pPr>
            <w:pStyle w:val="Encabezado"/>
          </w:pPr>
        </w:p>
      </w:tc>
      <w:tc>
        <w:tcPr>
          <w:tcW w:w="1062" w:type="pct"/>
          <w:vMerge/>
        </w:tcPr>
        <w:p w:rsidR="00394907" w:rsidRDefault="00394907" w:rsidP="00F561C6">
          <w:pPr>
            <w:pStyle w:val="Encabezado"/>
          </w:pPr>
        </w:p>
      </w:tc>
      <w:tc>
        <w:tcPr>
          <w:tcW w:w="2190" w:type="pct"/>
          <w:vAlign w:val="center"/>
        </w:tcPr>
        <w:p w:rsidR="00394907" w:rsidRPr="00394907" w:rsidRDefault="00394907" w:rsidP="0039490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52AA">
            <w:rPr>
              <w:rFonts w:ascii="Arial" w:hAnsi="Arial" w:cs="Arial"/>
              <w:b/>
              <w:sz w:val="16"/>
              <w:szCs w:val="16"/>
            </w:rPr>
            <w:t>I.E.S. BEN ARABÍ</w:t>
          </w:r>
        </w:p>
      </w:tc>
      <w:tc>
        <w:tcPr>
          <w:tcW w:w="862" w:type="pct"/>
          <w:vMerge/>
        </w:tcPr>
        <w:p w:rsidR="00394907" w:rsidRDefault="00394907" w:rsidP="00F561C6">
          <w:pPr>
            <w:pStyle w:val="Encabezado"/>
          </w:pPr>
        </w:p>
      </w:tc>
      <w:tc>
        <w:tcPr>
          <w:tcW w:w="504" w:type="pct"/>
          <w:vMerge/>
        </w:tcPr>
        <w:p w:rsidR="00394907" w:rsidRDefault="00394907" w:rsidP="00F561C6">
          <w:pPr>
            <w:pStyle w:val="Encabezado"/>
          </w:pPr>
        </w:p>
      </w:tc>
    </w:tr>
  </w:tbl>
  <w:p w:rsidR="00394907" w:rsidRPr="00394907" w:rsidRDefault="00D74B66">
    <w:pPr>
      <w:pStyle w:val="Encabezado"/>
      <w:rPr>
        <w:sz w:val="16"/>
        <w:szCs w:val="16"/>
      </w:rPr>
    </w:pPr>
    <w:r w:rsidRPr="002A0BDC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3143325</wp:posOffset>
          </wp:positionH>
          <wp:positionV relativeFrom="page">
            <wp:posOffset>347980</wp:posOffset>
          </wp:positionV>
          <wp:extent cx="431800" cy="389890"/>
          <wp:effectExtent l="0" t="0" r="6350" b="0"/>
          <wp:wrapNone/>
          <wp:docPr id="32" name="0 Imagen" descr="Dibu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.jpg"/>
                  <pic:cNvPicPr/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A7C"/>
    <w:multiLevelType w:val="multilevel"/>
    <w:tmpl w:val="5B869B2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B82C3F"/>
    <w:multiLevelType w:val="hybridMultilevel"/>
    <w:tmpl w:val="1D30029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42E0EB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43788"/>
    <w:multiLevelType w:val="hybridMultilevel"/>
    <w:tmpl w:val="5080A16E"/>
    <w:lvl w:ilvl="0" w:tplc="0C0A0019">
      <w:start w:val="1"/>
      <w:numFmt w:val="lowerLetter"/>
      <w:lvlText w:val="%1."/>
      <w:lvlJc w:val="left"/>
      <w:pPr>
        <w:ind w:left="1117" w:hanging="360"/>
      </w:pPr>
    </w:lvl>
    <w:lvl w:ilvl="1" w:tplc="0C0A0019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20175015"/>
    <w:multiLevelType w:val="hybridMultilevel"/>
    <w:tmpl w:val="13A03E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4B45"/>
    <w:multiLevelType w:val="multilevel"/>
    <w:tmpl w:val="CE9CB7EC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83E1014"/>
    <w:multiLevelType w:val="multilevel"/>
    <w:tmpl w:val="0DA4BB5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9956A35"/>
    <w:multiLevelType w:val="multilevel"/>
    <w:tmpl w:val="6E2C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C5F31"/>
    <w:multiLevelType w:val="multilevel"/>
    <w:tmpl w:val="6F34B53C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E762720"/>
    <w:multiLevelType w:val="hybridMultilevel"/>
    <w:tmpl w:val="EB2A5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A15BC"/>
    <w:multiLevelType w:val="multilevel"/>
    <w:tmpl w:val="FD6A5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D51DB"/>
    <w:multiLevelType w:val="multilevel"/>
    <w:tmpl w:val="F8765C04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8CC2377"/>
    <w:multiLevelType w:val="multilevel"/>
    <w:tmpl w:val="75E2C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6CA0900"/>
    <w:multiLevelType w:val="hybridMultilevel"/>
    <w:tmpl w:val="06CE804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33248"/>
    <w:multiLevelType w:val="multilevel"/>
    <w:tmpl w:val="4A667C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2CB7D37"/>
    <w:multiLevelType w:val="multilevel"/>
    <w:tmpl w:val="DAFC9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6374B66"/>
    <w:multiLevelType w:val="hybridMultilevel"/>
    <w:tmpl w:val="A4CCD27C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040DB"/>
    <w:multiLevelType w:val="multilevel"/>
    <w:tmpl w:val="9E9682FE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07D6B74"/>
    <w:multiLevelType w:val="hybridMultilevel"/>
    <w:tmpl w:val="0F0A4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24F4C"/>
    <w:multiLevelType w:val="multilevel"/>
    <w:tmpl w:val="DC764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78F1C6D"/>
    <w:multiLevelType w:val="multilevel"/>
    <w:tmpl w:val="62C81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7426F6B"/>
    <w:multiLevelType w:val="multilevel"/>
    <w:tmpl w:val="35B4A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EE60EC3"/>
    <w:multiLevelType w:val="multilevel"/>
    <w:tmpl w:val="FC7E29FE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16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21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4"/>
  </w:num>
  <w:num w:numId="16">
    <w:abstractNumId w:val="18"/>
  </w:num>
  <w:num w:numId="17">
    <w:abstractNumId w:val="12"/>
  </w:num>
  <w:num w:numId="18">
    <w:abstractNumId w:val="3"/>
  </w:num>
  <w:num w:numId="19">
    <w:abstractNumId w:val="1"/>
  </w:num>
  <w:num w:numId="20">
    <w:abstractNumId w:val="2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1F2"/>
    <w:rsid w:val="00006B05"/>
    <w:rsid w:val="0001377B"/>
    <w:rsid w:val="0009395F"/>
    <w:rsid w:val="000A1A8C"/>
    <w:rsid w:val="000C6774"/>
    <w:rsid w:val="000E00C0"/>
    <w:rsid w:val="0012601B"/>
    <w:rsid w:val="00163B16"/>
    <w:rsid w:val="001B2ED2"/>
    <w:rsid w:val="001C61A3"/>
    <w:rsid w:val="001C6722"/>
    <w:rsid w:val="002521E0"/>
    <w:rsid w:val="002660B0"/>
    <w:rsid w:val="0028270F"/>
    <w:rsid w:val="002A3117"/>
    <w:rsid w:val="002B4405"/>
    <w:rsid w:val="00311F27"/>
    <w:rsid w:val="00332A0E"/>
    <w:rsid w:val="00341C1E"/>
    <w:rsid w:val="00362198"/>
    <w:rsid w:val="00373A91"/>
    <w:rsid w:val="00394907"/>
    <w:rsid w:val="003B586E"/>
    <w:rsid w:val="004041CD"/>
    <w:rsid w:val="00504955"/>
    <w:rsid w:val="0055593E"/>
    <w:rsid w:val="00591E09"/>
    <w:rsid w:val="00600E3C"/>
    <w:rsid w:val="00601E19"/>
    <w:rsid w:val="0063366C"/>
    <w:rsid w:val="00653318"/>
    <w:rsid w:val="00694707"/>
    <w:rsid w:val="0069773A"/>
    <w:rsid w:val="006A44BB"/>
    <w:rsid w:val="0070022B"/>
    <w:rsid w:val="007061BD"/>
    <w:rsid w:val="007126B7"/>
    <w:rsid w:val="00721719"/>
    <w:rsid w:val="00721EF9"/>
    <w:rsid w:val="007471F7"/>
    <w:rsid w:val="007855EA"/>
    <w:rsid w:val="007E059D"/>
    <w:rsid w:val="00871BDF"/>
    <w:rsid w:val="00890B98"/>
    <w:rsid w:val="008C5317"/>
    <w:rsid w:val="008D243F"/>
    <w:rsid w:val="008E5893"/>
    <w:rsid w:val="00994261"/>
    <w:rsid w:val="009D7A10"/>
    <w:rsid w:val="00A4559D"/>
    <w:rsid w:val="00A61AFF"/>
    <w:rsid w:val="00A813B6"/>
    <w:rsid w:val="00AB0785"/>
    <w:rsid w:val="00AB1F0A"/>
    <w:rsid w:val="00AB3CBF"/>
    <w:rsid w:val="00AD4E2A"/>
    <w:rsid w:val="00AF55A3"/>
    <w:rsid w:val="00B72349"/>
    <w:rsid w:val="00BE5E39"/>
    <w:rsid w:val="00CC0844"/>
    <w:rsid w:val="00D30569"/>
    <w:rsid w:val="00D33128"/>
    <w:rsid w:val="00D661D9"/>
    <w:rsid w:val="00D74B66"/>
    <w:rsid w:val="00DD01F2"/>
    <w:rsid w:val="00DF3E13"/>
    <w:rsid w:val="00E01D48"/>
    <w:rsid w:val="00E35C2D"/>
    <w:rsid w:val="00E96E90"/>
    <w:rsid w:val="00F14CA3"/>
    <w:rsid w:val="00F50228"/>
    <w:rsid w:val="00FB452C"/>
    <w:rsid w:val="00FB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07"/>
  </w:style>
  <w:style w:type="paragraph" w:styleId="Piedepgina">
    <w:name w:val="footer"/>
    <w:basedOn w:val="Normal"/>
    <w:link w:val="Piedepgina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07"/>
  </w:style>
  <w:style w:type="table" w:styleId="Tablaconcuadrcula">
    <w:name w:val="Table Grid"/>
    <w:basedOn w:val="Tablanormal"/>
    <w:uiPriority w:val="59"/>
    <w:rsid w:val="00394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39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693E-3604-4DBD-8738-2B11B3A9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Usuario</cp:lastModifiedBy>
  <cp:revision>40</cp:revision>
  <dcterms:created xsi:type="dcterms:W3CDTF">2021-01-20T08:06:00Z</dcterms:created>
  <dcterms:modified xsi:type="dcterms:W3CDTF">2021-03-07T15:21:00Z</dcterms:modified>
</cp:coreProperties>
</file>