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2"/>
        <w:gridCol w:w="8894"/>
      </w:tblGrid>
      <w:tr w:rsidR="00AB2FDB" w:rsidTr="0072046B">
        <w:trPr>
          <w:cantSplit/>
          <w:trHeight w:val="510"/>
          <w:tblHeader/>
        </w:trPr>
        <w:tc>
          <w:tcPr>
            <w:tcW w:w="10456" w:type="dxa"/>
            <w:gridSpan w:val="2"/>
            <w:tcBorders>
              <w:top w:val="single" w:sz="4" w:space="0" w:color="FFFFFF"/>
              <w:left w:val="single" w:sz="4" w:space="0" w:color="FFFFFF"/>
              <w:bottom w:val="single" w:sz="4" w:space="0" w:color="FFFFFF"/>
              <w:right w:val="single" w:sz="4" w:space="0" w:color="FFFFFF"/>
            </w:tcBorders>
            <w:shd w:val="clear" w:color="auto" w:fill="CCFFCC"/>
            <w:vAlign w:val="center"/>
          </w:tcPr>
          <w:p w:rsidR="00AB2FDB" w:rsidRDefault="00AB2FDB" w:rsidP="0072046B">
            <w:pPr>
              <w:jc w:val="center"/>
              <w:rPr>
                <w:rFonts w:ascii="Arial" w:eastAsia="Arial" w:hAnsi="Arial" w:cs="Arial"/>
                <w:b/>
                <w:sz w:val="24"/>
                <w:szCs w:val="24"/>
              </w:rPr>
            </w:pPr>
            <w:r>
              <w:rPr>
                <w:rFonts w:ascii="Arial" w:eastAsia="Arial" w:hAnsi="Arial" w:cs="Arial"/>
                <w:b/>
                <w:sz w:val="24"/>
                <w:szCs w:val="24"/>
              </w:rPr>
              <w:t>PO. 2. TUTORÍA Y ORIENTACIÓN</w:t>
            </w:r>
          </w:p>
        </w:tc>
      </w:tr>
      <w:tr w:rsidR="00AB2FDB" w:rsidTr="0072046B">
        <w:trPr>
          <w:cantSplit/>
          <w:trHeight w:val="340"/>
          <w:tblHeader/>
        </w:trPr>
        <w:tc>
          <w:tcPr>
            <w:tcW w:w="10456" w:type="dxa"/>
            <w:gridSpan w:val="2"/>
            <w:tcBorders>
              <w:top w:val="single" w:sz="4" w:space="0" w:color="FFFFFF"/>
              <w:left w:val="single" w:sz="4" w:space="0" w:color="FFFFFF"/>
              <w:bottom w:val="single" w:sz="4" w:space="0" w:color="FFFFFF"/>
              <w:right w:val="single" w:sz="4" w:space="0" w:color="FFFFFF"/>
            </w:tcBorders>
            <w:vAlign w:val="center"/>
          </w:tcPr>
          <w:p w:rsidR="00AB2FDB" w:rsidRDefault="00AB2FDB" w:rsidP="0072046B">
            <w:pPr>
              <w:jc w:val="center"/>
              <w:rPr>
                <w:rFonts w:ascii="Arial" w:eastAsia="Arial" w:hAnsi="Arial" w:cs="Arial"/>
                <w:b/>
                <w:sz w:val="24"/>
                <w:szCs w:val="24"/>
              </w:rPr>
            </w:pPr>
          </w:p>
        </w:tc>
      </w:tr>
      <w:tr w:rsidR="00AB2FDB"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AB2FDB" w:rsidRDefault="00AB2FDB" w:rsidP="0072046B">
            <w:pPr>
              <w:jc w:val="right"/>
              <w:rPr>
                <w:rFonts w:ascii="Arial" w:eastAsia="Arial" w:hAnsi="Arial" w:cs="Arial"/>
              </w:rPr>
            </w:pPr>
            <w:r>
              <w:rPr>
                <w:rFonts w:ascii="Arial" w:eastAsia="Arial" w:hAnsi="Arial" w:cs="Arial"/>
                <w:color w:val="000000"/>
              </w:rPr>
              <w:t>Propietario</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AB2FDB" w:rsidRDefault="00AB2FDB" w:rsidP="0072046B">
            <w:pPr>
              <w:rPr>
                <w:rFonts w:ascii="Arial" w:eastAsia="Arial" w:hAnsi="Arial" w:cs="Arial"/>
              </w:rPr>
            </w:pPr>
            <w:r>
              <w:rPr>
                <w:rFonts w:ascii="Arial" w:eastAsia="Arial" w:hAnsi="Arial" w:cs="Arial"/>
                <w:color w:val="000000"/>
              </w:rPr>
              <w:t>Equipo directivo.</w:t>
            </w:r>
          </w:p>
        </w:tc>
      </w:tr>
      <w:tr w:rsidR="00AB2FDB"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AB2FDB" w:rsidRDefault="00AB2FDB" w:rsidP="0072046B">
            <w:pPr>
              <w:jc w:val="right"/>
              <w:rPr>
                <w:rFonts w:ascii="Arial" w:eastAsia="Arial" w:hAnsi="Arial" w:cs="Arial"/>
              </w:rPr>
            </w:pPr>
            <w:r>
              <w:rPr>
                <w:rFonts w:ascii="Arial" w:eastAsia="Arial" w:hAnsi="Arial" w:cs="Arial"/>
              </w:rPr>
              <w:t>Procesos relacionados</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AB2FDB" w:rsidRDefault="00AB2FDB" w:rsidP="0072046B">
            <w:pPr>
              <w:rPr>
                <w:rFonts w:ascii="Arial" w:eastAsia="Arial" w:hAnsi="Arial" w:cs="Arial"/>
                <w:b/>
              </w:rPr>
            </w:pPr>
            <w:r>
              <w:rPr>
                <w:rFonts w:ascii="Arial" w:eastAsia="Arial" w:hAnsi="Arial" w:cs="Arial"/>
                <w:b/>
              </w:rPr>
              <w:t>PO. 1, PO. 3 y PO. 4.</w:t>
            </w:r>
          </w:p>
        </w:tc>
      </w:tr>
    </w:tbl>
    <w:p w:rsidR="00AB2FDB" w:rsidRPr="00A75FEF" w:rsidRDefault="00AB2FDB" w:rsidP="00AB2FDB">
      <w:pPr>
        <w:spacing w:after="0" w:line="240" w:lineRule="auto"/>
        <w:rPr>
          <w:rFonts w:ascii="Arial" w:eastAsia="Arial" w:hAnsi="Arial" w:cs="Arial"/>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AB2FDB" w:rsidTr="0072046B">
        <w:trPr>
          <w:cantSplit/>
          <w:trHeight w:val="454"/>
          <w:tblHeader/>
        </w:trPr>
        <w:tc>
          <w:tcPr>
            <w:tcW w:w="10456" w:type="dxa"/>
            <w:gridSpan w:val="2"/>
            <w:shd w:val="clear" w:color="auto" w:fill="D9D9D9"/>
            <w:vAlign w:val="center"/>
          </w:tcPr>
          <w:p w:rsidR="00AB2FDB" w:rsidRDefault="00AB2FDB" w:rsidP="0072046B">
            <w:pPr>
              <w:rPr>
                <w:rFonts w:ascii="Arial" w:eastAsia="Arial" w:hAnsi="Arial" w:cs="Arial"/>
                <w:b/>
                <w:sz w:val="24"/>
                <w:szCs w:val="24"/>
              </w:rPr>
            </w:pPr>
            <w:r>
              <w:rPr>
                <w:rFonts w:ascii="Arial" w:eastAsia="Arial" w:hAnsi="Arial" w:cs="Arial"/>
                <w:b/>
                <w:sz w:val="24"/>
                <w:szCs w:val="24"/>
              </w:rPr>
              <w:t xml:space="preserve">Subproceso 2.1. COORDINACIÓN CON OTRAS ETAPAS. </w:t>
            </w:r>
          </w:p>
        </w:tc>
      </w:tr>
      <w:tr w:rsidR="00AB2FDB" w:rsidTr="0072046B">
        <w:trPr>
          <w:cantSplit/>
          <w:trHeight w:val="1077"/>
          <w:tblHeader/>
        </w:trPr>
        <w:tc>
          <w:tcPr>
            <w:tcW w:w="10456" w:type="dxa"/>
            <w:gridSpan w:val="2"/>
            <w:vAlign w:val="center"/>
          </w:tcPr>
          <w:p w:rsidR="00AB2FDB" w:rsidRDefault="00AB2FDB" w:rsidP="0072046B">
            <w:pPr>
              <w:jc w:val="center"/>
              <w:rPr>
                <w:rFonts w:ascii="Arial" w:eastAsia="Arial" w:hAnsi="Arial" w:cs="Arial"/>
                <w:b/>
                <w:sz w:val="36"/>
                <w:szCs w:val="36"/>
              </w:rPr>
            </w:pPr>
            <w:r>
              <w:rPr>
                <w:rFonts w:ascii="Arial" w:eastAsia="Arial" w:hAnsi="Arial" w:cs="Arial"/>
                <w:b/>
                <w:color w:val="FF0000"/>
                <w:sz w:val="36"/>
                <w:szCs w:val="36"/>
              </w:rPr>
              <w:t>COORDINACIÓN CON OTRAS ETAPAS</w:t>
            </w:r>
          </w:p>
        </w:tc>
      </w:tr>
      <w:tr w:rsidR="00AB2FDB" w:rsidTr="0072046B">
        <w:trPr>
          <w:cantSplit/>
          <w:trHeight w:val="340"/>
          <w:tblHeader/>
        </w:trPr>
        <w:tc>
          <w:tcPr>
            <w:tcW w:w="1562" w:type="dxa"/>
            <w:shd w:val="clear" w:color="auto" w:fill="D9D9D9"/>
            <w:vAlign w:val="center"/>
          </w:tcPr>
          <w:p w:rsidR="00AB2FDB" w:rsidRDefault="00AB2FDB" w:rsidP="0072046B">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AB2FDB" w:rsidRDefault="00AB2FDB" w:rsidP="0072046B">
            <w:pPr>
              <w:jc w:val="both"/>
              <w:rPr>
                <w:rFonts w:ascii="Arial" w:eastAsia="Arial" w:hAnsi="Arial" w:cs="Arial"/>
                <w:color w:val="FF0000"/>
              </w:rPr>
            </w:pPr>
            <w:r>
              <w:rPr>
                <w:rFonts w:ascii="Arial" w:eastAsia="Arial" w:hAnsi="Arial" w:cs="Arial"/>
              </w:rPr>
              <w:t>Hacer el traspaso de información de los Centros de Primaria de Cartagena, adscritos al instituto, relativa a los alumnos de nueva incorporación procedentes de 6º primaria.</w:t>
            </w:r>
          </w:p>
        </w:tc>
      </w:tr>
      <w:tr w:rsidR="00AB2FDB" w:rsidTr="0072046B">
        <w:trPr>
          <w:cantSplit/>
          <w:trHeight w:val="340"/>
          <w:tblHeader/>
        </w:trPr>
        <w:tc>
          <w:tcPr>
            <w:tcW w:w="1562" w:type="dxa"/>
            <w:shd w:val="clear" w:color="auto" w:fill="D9D9D9"/>
            <w:vAlign w:val="center"/>
          </w:tcPr>
          <w:p w:rsidR="00AB2FDB" w:rsidRDefault="00AB2FDB" w:rsidP="0072046B">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AB2FDB" w:rsidRDefault="00AB2FDB" w:rsidP="0072046B">
            <w:pPr>
              <w:jc w:val="both"/>
              <w:rPr>
                <w:rFonts w:ascii="Arial" w:eastAsia="Arial" w:hAnsi="Arial" w:cs="Arial"/>
              </w:rPr>
            </w:pPr>
            <w:r>
              <w:rPr>
                <w:rFonts w:ascii="Arial" w:eastAsia="Arial" w:hAnsi="Arial" w:cs="Arial"/>
              </w:rPr>
              <w:t xml:space="preserve">Jefatura de Estudios </w:t>
            </w:r>
          </w:p>
        </w:tc>
      </w:tr>
      <w:tr w:rsidR="00AB2FDB" w:rsidTr="0072046B">
        <w:trPr>
          <w:cantSplit/>
          <w:trHeight w:val="340"/>
          <w:tblHeader/>
        </w:trPr>
        <w:tc>
          <w:tcPr>
            <w:tcW w:w="1562" w:type="dxa"/>
            <w:shd w:val="clear" w:color="auto" w:fill="D9D9D9"/>
            <w:vAlign w:val="center"/>
          </w:tcPr>
          <w:p w:rsidR="00AB2FDB" w:rsidRDefault="00AB2FDB" w:rsidP="0072046B">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AB2FDB" w:rsidRDefault="00AB2FDB" w:rsidP="0072046B">
            <w:pPr>
              <w:jc w:val="both"/>
              <w:rPr>
                <w:rFonts w:ascii="Arial" w:eastAsia="Arial" w:hAnsi="Arial" w:cs="Arial"/>
              </w:rPr>
            </w:pPr>
            <w:r>
              <w:rPr>
                <w:rFonts w:ascii="Arial" w:eastAsia="Arial" w:hAnsi="Arial" w:cs="Arial"/>
              </w:rPr>
              <w:t>Jefes de Estudios, Orientadora, Profesora de Servicios a la Comunidad (</w:t>
            </w:r>
            <w:proofErr w:type="spellStart"/>
            <w:r>
              <w:rPr>
                <w:rFonts w:ascii="Arial" w:eastAsia="Arial" w:hAnsi="Arial" w:cs="Arial"/>
              </w:rPr>
              <w:t>PTSC</w:t>
            </w:r>
            <w:proofErr w:type="spellEnd"/>
            <w:r>
              <w:rPr>
                <w:rFonts w:ascii="Arial" w:eastAsia="Arial" w:hAnsi="Arial" w:cs="Arial"/>
              </w:rPr>
              <w:t>) y</w:t>
            </w:r>
            <w:r>
              <w:rPr>
                <w:rFonts w:ascii="Arial" w:eastAsia="Arial" w:hAnsi="Arial" w:cs="Arial"/>
                <w:color w:val="FF0000"/>
              </w:rPr>
              <w:t xml:space="preserve"> </w:t>
            </w:r>
            <w:r w:rsidRPr="00CB4F82">
              <w:rPr>
                <w:rFonts w:ascii="Arial" w:eastAsia="Arial" w:hAnsi="Arial" w:cs="Arial"/>
              </w:rPr>
              <w:t xml:space="preserve">Jefes de departamento de: Matemáticas, Lengua, </w:t>
            </w:r>
            <w:proofErr w:type="gramStart"/>
            <w:r w:rsidRPr="00CB4F82">
              <w:rPr>
                <w:rFonts w:ascii="Arial" w:eastAsia="Arial" w:hAnsi="Arial" w:cs="Arial"/>
              </w:rPr>
              <w:t>Inglés</w:t>
            </w:r>
            <w:proofErr w:type="gramEnd"/>
            <w:r w:rsidRPr="00CB4F82">
              <w:rPr>
                <w:rFonts w:ascii="Arial" w:eastAsia="Arial" w:hAnsi="Arial" w:cs="Arial"/>
              </w:rPr>
              <w:t xml:space="preserve"> y Francés.</w:t>
            </w:r>
          </w:p>
        </w:tc>
      </w:tr>
      <w:tr w:rsidR="00AB2FDB" w:rsidTr="0072046B">
        <w:trPr>
          <w:cantSplit/>
          <w:trHeight w:val="340"/>
          <w:tblHeader/>
        </w:trPr>
        <w:tc>
          <w:tcPr>
            <w:tcW w:w="1562" w:type="dxa"/>
            <w:shd w:val="clear" w:color="auto" w:fill="D9D9D9"/>
            <w:vAlign w:val="center"/>
          </w:tcPr>
          <w:p w:rsidR="00AB2FDB" w:rsidRDefault="00AB2FDB" w:rsidP="0072046B">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AB2FDB" w:rsidRDefault="00AB2FDB" w:rsidP="0072046B">
            <w:pPr>
              <w:jc w:val="both"/>
              <w:rPr>
                <w:rFonts w:ascii="Arial" w:eastAsia="Arial" w:hAnsi="Arial" w:cs="Arial"/>
              </w:rPr>
            </w:pPr>
            <w:r>
              <w:rPr>
                <w:rFonts w:ascii="Arial" w:eastAsia="Arial" w:hAnsi="Arial" w:cs="Arial"/>
              </w:rPr>
              <w:t xml:space="preserve">Primera quincena de Junio. </w:t>
            </w:r>
          </w:p>
        </w:tc>
      </w:tr>
    </w:tbl>
    <w:p w:rsidR="00AB2FDB" w:rsidRPr="00A75FEF" w:rsidRDefault="00AB2FDB" w:rsidP="00AB2FDB">
      <w:pPr>
        <w:spacing w:after="0" w:line="240" w:lineRule="auto"/>
        <w:jc w:val="both"/>
        <w:rPr>
          <w:rFonts w:ascii="Arial" w:eastAsia="Arial" w:hAnsi="Arial" w:cs="Arial"/>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AB2FDB" w:rsidTr="0072046B">
        <w:trPr>
          <w:cantSplit/>
          <w:tblHeader/>
        </w:trPr>
        <w:tc>
          <w:tcPr>
            <w:tcW w:w="10456" w:type="dxa"/>
            <w:shd w:val="clear" w:color="auto" w:fill="D9D9D9"/>
          </w:tcPr>
          <w:p w:rsidR="00AB2FDB" w:rsidRDefault="00AB2FDB" w:rsidP="0072046B">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AB2FDB" w:rsidTr="0072046B">
        <w:trPr>
          <w:cantSplit/>
          <w:trHeight w:val="5869"/>
          <w:tblHeader/>
        </w:trPr>
        <w:tc>
          <w:tcPr>
            <w:tcW w:w="10456" w:type="dxa"/>
            <w:shd w:val="clear" w:color="auto" w:fill="auto"/>
            <w:vAlign w:val="center"/>
          </w:tcPr>
          <w:p w:rsidR="00AB2FDB" w:rsidRDefault="00AB2FDB" w:rsidP="0072046B">
            <w:pPr>
              <w:shd w:val="clear" w:color="auto" w:fill="F2DBDB" w:themeFill="accent2" w:themeFillTint="33"/>
              <w:jc w:val="both"/>
              <w:rPr>
                <w:rFonts w:ascii="Arial" w:eastAsia="Arial" w:hAnsi="Arial" w:cs="Arial"/>
                <w:b/>
                <w:i/>
                <w:color w:val="000000"/>
                <w:sz w:val="24"/>
                <w:szCs w:val="24"/>
              </w:rPr>
            </w:pPr>
            <w:r>
              <w:rPr>
                <w:rFonts w:ascii="Arial" w:eastAsia="Arial" w:hAnsi="Arial" w:cs="Arial"/>
                <w:b/>
                <w:i/>
                <w:color w:val="000000"/>
                <w:sz w:val="24"/>
                <w:szCs w:val="24"/>
              </w:rPr>
              <w:t>Jefatura de Estudios</w:t>
            </w:r>
          </w:p>
          <w:p w:rsidR="00AB2FDB" w:rsidRPr="00A75FEF" w:rsidRDefault="00AB2FDB" w:rsidP="0072046B">
            <w:pPr>
              <w:pBdr>
                <w:top w:val="nil"/>
                <w:left w:val="nil"/>
                <w:bottom w:val="nil"/>
                <w:right w:val="nil"/>
                <w:between w:val="nil"/>
              </w:pBdr>
              <w:shd w:val="clear" w:color="auto" w:fill="FFFFFF"/>
              <w:jc w:val="both"/>
              <w:rPr>
                <w:rFonts w:ascii="Arial" w:eastAsia="Arial" w:hAnsi="Arial" w:cs="Arial"/>
                <w:color w:val="FF0000"/>
                <w:sz w:val="12"/>
                <w:szCs w:val="12"/>
              </w:rPr>
            </w:pPr>
          </w:p>
          <w:p w:rsidR="00AB2FDB" w:rsidRPr="00B558D7" w:rsidRDefault="00AB2FDB" w:rsidP="00AB2FDB">
            <w:pPr>
              <w:numPr>
                <w:ilvl w:val="0"/>
                <w:numId w:val="1"/>
              </w:numPr>
              <w:pBdr>
                <w:top w:val="nil"/>
                <w:left w:val="nil"/>
                <w:bottom w:val="nil"/>
                <w:right w:val="nil"/>
                <w:between w:val="nil"/>
              </w:pBdr>
              <w:shd w:val="clear" w:color="auto" w:fill="FFFFFF"/>
              <w:spacing w:after="0" w:line="240" w:lineRule="auto"/>
              <w:ind w:left="397" w:hanging="397"/>
              <w:jc w:val="both"/>
              <w:rPr>
                <w:rFonts w:ascii="Arial" w:eastAsia="Arial" w:hAnsi="Arial" w:cs="Arial"/>
                <w:sz w:val="24"/>
                <w:szCs w:val="24"/>
              </w:rPr>
            </w:pPr>
            <w:r>
              <w:rPr>
                <w:rFonts w:ascii="Arial" w:eastAsia="Arial" w:hAnsi="Arial" w:cs="Arial"/>
                <w:sz w:val="24"/>
                <w:szCs w:val="24"/>
              </w:rPr>
              <w:t xml:space="preserve">Previo al período de admisión, programa una visita de los Coordinadores de la sección Plurilingüe y </w:t>
            </w:r>
            <w:proofErr w:type="spellStart"/>
            <w:r>
              <w:rPr>
                <w:rFonts w:ascii="Arial" w:eastAsia="Arial" w:hAnsi="Arial" w:cs="Arial"/>
                <w:sz w:val="24"/>
                <w:szCs w:val="24"/>
              </w:rPr>
              <w:t>Bachibac</w:t>
            </w:r>
            <w:proofErr w:type="spellEnd"/>
            <w:r>
              <w:rPr>
                <w:rFonts w:ascii="Arial" w:eastAsia="Arial" w:hAnsi="Arial" w:cs="Arial"/>
                <w:sz w:val="24"/>
                <w:szCs w:val="24"/>
              </w:rPr>
              <w:t xml:space="preserve"> a los centros de primaria adscritos con el objetivo de dar a conocer los programas a los alumnos de 6º primaria. Además, p</w:t>
            </w:r>
            <w:r w:rsidRPr="00B558D7">
              <w:rPr>
                <w:rFonts w:ascii="Arial" w:eastAsia="Arial" w:hAnsi="Arial" w:cs="Arial"/>
                <w:sz w:val="24"/>
                <w:szCs w:val="24"/>
              </w:rPr>
              <w:t xml:space="preserve">rograma una reunión telemática de los Coordinadores de Plurilingüe y </w:t>
            </w:r>
            <w:proofErr w:type="spellStart"/>
            <w:r w:rsidRPr="00B558D7">
              <w:rPr>
                <w:rFonts w:ascii="Arial" w:eastAsia="Arial" w:hAnsi="Arial" w:cs="Arial"/>
                <w:sz w:val="24"/>
                <w:szCs w:val="24"/>
              </w:rPr>
              <w:t>Bachibac</w:t>
            </w:r>
            <w:proofErr w:type="spellEnd"/>
            <w:r w:rsidRPr="00B558D7">
              <w:rPr>
                <w:rFonts w:ascii="Arial" w:eastAsia="Arial" w:hAnsi="Arial" w:cs="Arial"/>
                <w:sz w:val="24"/>
                <w:szCs w:val="24"/>
              </w:rPr>
              <w:t xml:space="preserve"> con las familias de los alumnos de 6º primaria de los centros adscritos.</w:t>
            </w:r>
          </w:p>
          <w:p w:rsidR="00AB2FDB" w:rsidRDefault="00AB2FDB" w:rsidP="00AB2FDB">
            <w:pPr>
              <w:numPr>
                <w:ilvl w:val="0"/>
                <w:numId w:val="1"/>
              </w:numPr>
              <w:pBdr>
                <w:top w:val="nil"/>
                <w:left w:val="nil"/>
                <w:bottom w:val="nil"/>
                <w:right w:val="nil"/>
                <w:between w:val="nil"/>
              </w:pBdr>
              <w:shd w:val="clear" w:color="auto" w:fill="FFFFFF"/>
              <w:spacing w:after="0" w:line="240" w:lineRule="auto"/>
              <w:ind w:left="397" w:hanging="397"/>
              <w:jc w:val="both"/>
              <w:rPr>
                <w:rFonts w:ascii="Arial" w:eastAsia="Arial" w:hAnsi="Arial" w:cs="Arial"/>
                <w:sz w:val="24"/>
                <w:szCs w:val="24"/>
              </w:rPr>
            </w:pPr>
            <w:r>
              <w:rPr>
                <w:rFonts w:ascii="Arial" w:eastAsia="Arial" w:hAnsi="Arial" w:cs="Arial"/>
                <w:sz w:val="24"/>
                <w:szCs w:val="24"/>
              </w:rPr>
              <w:t>Tras  la publicación de listados de alumnos solicitantes de plaza para 1º ESO en nuestro centro, Jefatura de Estudios solicita a los Directores de los centros de Primaria, información detallada de dichos alumnos, haciendo especial hincapié en alumnos de integración (</w:t>
            </w:r>
            <w:proofErr w:type="spellStart"/>
            <w:r>
              <w:rPr>
                <w:rFonts w:ascii="Arial" w:eastAsia="Arial" w:hAnsi="Arial" w:cs="Arial"/>
                <w:sz w:val="24"/>
                <w:szCs w:val="24"/>
              </w:rPr>
              <w:t>ACNEE</w:t>
            </w:r>
            <w:proofErr w:type="spellEnd"/>
            <w:r>
              <w:rPr>
                <w:rFonts w:ascii="Arial" w:eastAsia="Arial" w:hAnsi="Arial" w:cs="Arial"/>
                <w:sz w:val="24"/>
                <w:szCs w:val="24"/>
              </w:rPr>
              <w:t>, compensatoria, integración tardía, altas capacidades, problemas de comportamiento, diagnósticos físicos o psicológicos, trastornos de personalidad, problemas familiares, absentismo escolar, dificultades económicas y problemas de integración en el grupo).</w:t>
            </w:r>
          </w:p>
          <w:p w:rsidR="00AB2FDB" w:rsidRDefault="00AB2FDB" w:rsidP="00AB2FDB">
            <w:pPr>
              <w:numPr>
                <w:ilvl w:val="0"/>
                <w:numId w:val="1"/>
              </w:numPr>
              <w:pBdr>
                <w:top w:val="nil"/>
                <w:left w:val="nil"/>
                <w:bottom w:val="nil"/>
                <w:right w:val="nil"/>
                <w:between w:val="nil"/>
              </w:pBdr>
              <w:shd w:val="clear" w:color="auto" w:fill="FFFFFF"/>
              <w:spacing w:after="0" w:line="240" w:lineRule="auto"/>
              <w:ind w:left="397" w:hanging="397"/>
              <w:jc w:val="both"/>
              <w:rPr>
                <w:rFonts w:ascii="Arial" w:eastAsia="Arial" w:hAnsi="Arial" w:cs="Arial"/>
                <w:sz w:val="24"/>
                <w:szCs w:val="24"/>
              </w:rPr>
            </w:pPr>
            <w:r>
              <w:rPr>
                <w:rFonts w:ascii="Arial" w:eastAsia="Arial" w:hAnsi="Arial" w:cs="Arial"/>
                <w:sz w:val="24"/>
                <w:szCs w:val="24"/>
              </w:rPr>
              <w:t>A finales de mayo o principios de junio, programa una jornada de acogida consistente en  la realización de visitas guiadas al centro de los alumnos de 6º primaria con el fin de que conozcan, de primera mano, nuestro funcionamiento e instalaciones.</w:t>
            </w:r>
          </w:p>
          <w:p w:rsidR="00AB2FDB" w:rsidRPr="00CA5FF6" w:rsidRDefault="00AB2FDB" w:rsidP="00AB2FDB">
            <w:pPr>
              <w:numPr>
                <w:ilvl w:val="0"/>
                <w:numId w:val="1"/>
              </w:numPr>
              <w:pBdr>
                <w:top w:val="nil"/>
                <w:left w:val="nil"/>
                <w:bottom w:val="nil"/>
                <w:right w:val="nil"/>
                <w:between w:val="nil"/>
              </w:pBdr>
              <w:shd w:val="clear" w:color="auto" w:fill="FFFFFF"/>
              <w:spacing w:after="0" w:line="240" w:lineRule="auto"/>
              <w:ind w:left="397" w:hanging="397"/>
              <w:jc w:val="both"/>
              <w:rPr>
                <w:rFonts w:ascii="Arial" w:eastAsia="Arial" w:hAnsi="Arial" w:cs="Arial"/>
                <w:sz w:val="24"/>
                <w:szCs w:val="24"/>
              </w:rPr>
            </w:pPr>
            <w:r>
              <w:rPr>
                <w:rFonts w:ascii="Arial" w:eastAsia="Arial" w:hAnsi="Arial" w:cs="Arial"/>
                <w:sz w:val="24"/>
                <w:szCs w:val="24"/>
              </w:rPr>
              <w:t>A comienzos de junio, programa 6 reuniones de coordinación con los colegios en las que los asistentes son: miembros de los Equipos directivos del instituto y de los colegios, Jefa del departamento de Orientación con orientadora (</w:t>
            </w:r>
            <w:proofErr w:type="spellStart"/>
            <w:r>
              <w:rPr>
                <w:rFonts w:ascii="Arial" w:eastAsia="Arial" w:hAnsi="Arial" w:cs="Arial"/>
                <w:sz w:val="24"/>
                <w:szCs w:val="24"/>
              </w:rPr>
              <w:t>pts</w:t>
            </w:r>
            <w:proofErr w:type="spellEnd"/>
            <w:r>
              <w:rPr>
                <w:rFonts w:ascii="Arial" w:eastAsia="Arial" w:hAnsi="Arial" w:cs="Arial"/>
                <w:sz w:val="24"/>
                <w:szCs w:val="24"/>
              </w:rPr>
              <w:t>), Jefe de departamento de Matemáticas con maestros de matemáticas, Jefe del departamento de Lengua Castellana con maestros de lengua, Jefe de departamento de Francés con maestros francés y Jefe departamento de Inglés con maestros de inglés</w:t>
            </w:r>
          </w:p>
        </w:tc>
      </w:tr>
    </w:tbl>
    <w:p w:rsidR="00AB2FDB" w:rsidRDefault="00AB2FDB" w:rsidP="00AB2FDB">
      <w:pPr>
        <w:spacing w:after="0" w:line="240" w:lineRule="auto"/>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AB2FDB" w:rsidTr="0072046B">
        <w:trPr>
          <w:cantSplit/>
          <w:trHeight w:val="567"/>
          <w:tblHeader/>
        </w:trPr>
        <w:tc>
          <w:tcPr>
            <w:tcW w:w="1745" w:type="dxa"/>
            <w:shd w:val="clear" w:color="auto" w:fill="D9D9D9"/>
            <w:vAlign w:val="center"/>
          </w:tcPr>
          <w:p w:rsidR="00AB2FDB" w:rsidRPr="00CA5FF6" w:rsidRDefault="00AB2FDB" w:rsidP="0072046B">
            <w:pPr>
              <w:jc w:val="right"/>
              <w:rPr>
                <w:rFonts w:ascii="Arial" w:eastAsia="Arial" w:hAnsi="Arial" w:cs="Arial"/>
              </w:rPr>
            </w:pPr>
            <w:r w:rsidRPr="00CA5FF6">
              <w:rPr>
                <w:rFonts w:ascii="Arial" w:eastAsia="Arial" w:hAnsi="Arial" w:cs="Arial"/>
              </w:rPr>
              <w:t>Documentos</w:t>
            </w:r>
          </w:p>
        </w:tc>
        <w:tc>
          <w:tcPr>
            <w:tcW w:w="8711" w:type="dxa"/>
            <w:shd w:val="clear" w:color="auto" w:fill="D9D9D9"/>
            <w:vAlign w:val="center"/>
          </w:tcPr>
          <w:p w:rsidR="00AB2FDB" w:rsidRPr="00CA5FF6" w:rsidRDefault="00AB2FDB" w:rsidP="00AB2FDB">
            <w:pPr>
              <w:pStyle w:val="Prrafodelista"/>
              <w:numPr>
                <w:ilvl w:val="0"/>
                <w:numId w:val="3"/>
              </w:numPr>
              <w:pBdr>
                <w:top w:val="nil"/>
                <w:left w:val="nil"/>
                <w:bottom w:val="nil"/>
                <w:right w:val="nil"/>
                <w:between w:val="nil"/>
              </w:pBdr>
              <w:spacing w:after="0" w:line="240" w:lineRule="auto"/>
              <w:ind w:left="397" w:hanging="397"/>
              <w:jc w:val="both"/>
              <w:rPr>
                <w:rFonts w:ascii="Arial" w:eastAsia="Arial" w:hAnsi="Arial" w:cs="Arial"/>
                <w:color w:val="000000"/>
              </w:rPr>
            </w:pPr>
            <w:r w:rsidRPr="00CA5FF6">
              <w:rPr>
                <w:rFonts w:ascii="Arial" w:eastAsia="Arial" w:hAnsi="Arial" w:cs="Arial"/>
                <w:color w:val="000000"/>
              </w:rPr>
              <w:t xml:space="preserve">Plan de Coordinación entre Centros de Primaria y Secundaria </w:t>
            </w:r>
            <w:proofErr w:type="spellStart"/>
            <w:r w:rsidRPr="00CA5FF6">
              <w:rPr>
                <w:rFonts w:ascii="Arial" w:eastAsia="Arial" w:hAnsi="Arial" w:cs="Arial"/>
                <w:color w:val="000000"/>
              </w:rPr>
              <w:t>IES</w:t>
            </w:r>
            <w:proofErr w:type="spellEnd"/>
            <w:r w:rsidRPr="00CA5FF6">
              <w:rPr>
                <w:rFonts w:ascii="Arial" w:eastAsia="Arial" w:hAnsi="Arial" w:cs="Arial"/>
                <w:color w:val="000000"/>
              </w:rPr>
              <w:t xml:space="preserve"> Ben </w:t>
            </w:r>
            <w:proofErr w:type="spellStart"/>
            <w:r w:rsidRPr="00CA5FF6">
              <w:rPr>
                <w:rFonts w:ascii="Arial" w:eastAsia="Arial" w:hAnsi="Arial" w:cs="Arial"/>
                <w:color w:val="000000"/>
              </w:rPr>
              <w:t>Arabi</w:t>
            </w:r>
            <w:proofErr w:type="spellEnd"/>
          </w:p>
          <w:p w:rsidR="00AB2FDB" w:rsidRPr="00CA5FF6" w:rsidRDefault="00AB2FDB" w:rsidP="00AB2FDB">
            <w:pPr>
              <w:pStyle w:val="Prrafodelista"/>
              <w:numPr>
                <w:ilvl w:val="0"/>
                <w:numId w:val="3"/>
              </w:numPr>
              <w:pBdr>
                <w:top w:val="nil"/>
                <w:left w:val="nil"/>
                <w:bottom w:val="nil"/>
                <w:right w:val="nil"/>
                <w:between w:val="nil"/>
              </w:pBdr>
              <w:spacing w:after="0" w:line="240" w:lineRule="auto"/>
              <w:ind w:left="397" w:hanging="397"/>
              <w:rPr>
                <w:rFonts w:ascii="Arial" w:eastAsia="Arial" w:hAnsi="Arial" w:cs="Arial"/>
                <w:color w:val="000000"/>
              </w:rPr>
            </w:pPr>
            <w:r w:rsidRPr="00CA5FF6">
              <w:rPr>
                <w:rFonts w:ascii="Arial" w:eastAsia="Arial" w:hAnsi="Arial" w:cs="Arial"/>
                <w:color w:val="000000"/>
              </w:rPr>
              <w:t>Ficha de recogida de datos de alumnos colegio 6º primaria</w:t>
            </w:r>
          </w:p>
        </w:tc>
      </w:tr>
      <w:tr w:rsidR="00AB2FDB" w:rsidTr="0072046B">
        <w:trPr>
          <w:cantSplit/>
          <w:trHeight w:val="397"/>
          <w:tblHeader/>
        </w:trPr>
        <w:tc>
          <w:tcPr>
            <w:tcW w:w="1745" w:type="dxa"/>
            <w:shd w:val="clear" w:color="auto" w:fill="D9D9D9"/>
            <w:vAlign w:val="center"/>
          </w:tcPr>
          <w:p w:rsidR="00AB2FDB" w:rsidRPr="00CA5FF6" w:rsidRDefault="00AB2FDB" w:rsidP="0072046B">
            <w:pPr>
              <w:jc w:val="right"/>
              <w:rPr>
                <w:rFonts w:ascii="Arial" w:eastAsia="Arial" w:hAnsi="Arial" w:cs="Arial"/>
              </w:rPr>
            </w:pPr>
            <w:r w:rsidRPr="00CA5FF6">
              <w:rPr>
                <w:rFonts w:ascii="Arial" w:eastAsia="Arial" w:hAnsi="Arial" w:cs="Arial"/>
              </w:rPr>
              <w:t>Registros</w:t>
            </w:r>
          </w:p>
        </w:tc>
        <w:tc>
          <w:tcPr>
            <w:tcW w:w="8711" w:type="dxa"/>
            <w:shd w:val="clear" w:color="auto" w:fill="D9D9D9"/>
            <w:vAlign w:val="center"/>
          </w:tcPr>
          <w:p w:rsidR="00AB2FDB" w:rsidRPr="00CA5FF6" w:rsidRDefault="00AB2FDB" w:rsidP="0072046B">
            <w:pPr>
              <w:rPr>
                <w:rFonts w:ascii="Arial" w:eastAsia="Arial" w:hAnsi="Arial" w:cs="Arial"/>
              </w:rPr>
            </w:pPr>
            <w:r w:rsidRPr="00CA5FF6">
              <w:rPr>
                <w:rFonts w:ascii="Arial" w:eastAsia="Arial" w:hAnsi="Arial" w:cs="Arial"/>
                <w:color w:val="000000"/>
              </w:rPr>
              <w:t>Ficha cumplimentada de recogida de datos de alumnos colegio 6º primaria</w:t>
            </w:r>
          </w:p>
        </w:tc>
      </w:tr>
      <w:tr w:rsidR="00AB2FDB" w:rsidTr="0072046B">
        <w:trPr>
          <w:cantSplit/>
          <w:trHeight w:val="794"/>
          <w:tblHeader/>
        </w:trPr>
        <w:tc>
          <w:tcPr>
            <w:tcW w:w="1745" w:type="dxa"/>
            <w:shd w:val="clear" w:color="auto" w:fill="D9D9D9"/>
            <w:vAlign w:val="center"/>
          </w:tcPr>
          <w:p w:rsidR="00AB2FDB" w:rsidRPr="00CA5FF6" w:rsidRDefault="00AB2FDB" w:rsidP="0072046B">
            <w:pPr>
              <w:jc w:val="right"/>
              <w:rPr>
                <w:rFonts w:ascii="Arial" w:eastAsia="Arial" w:hAnsi="Arial" w:cs="Arial"/>
              </w:rPr>
            </w:pPr>
            <w:r w:rsidRPr="00CA5FF6">
              <w:rPr>
                <w:rFonts w:ascii="Arial" w:eastAsia="Arial" w:hAnsi="Arial" w:cs="Arial"/>
              </w:rPr>
              <w:lastRenderedPageBreak/>
              <w:t>Documentación externa</w:t>
            </w:r>
          </w:p>
        </w:tc>
        <w:tc>
          <w:tcPr>
            <w:tcW w:w="8711" w:type="dxa"/>
            <w:shd w:val="clear" w:color="auto" w:fill="D9D9D9"/>
            <w:vAlign w:val="center"/>
          </w:tcPr>
          <w:p w:rsidR="00AB2FDB" w:rsidRPr="00CA5FF6" w:rsidRDefault="00AB2FDB" w:rsidP="00AB2FDB">
            <w:pPr>
              <w:numPr>
                <w:ilvl w:val="0"/>
                <w:numId w:val="2"/>
              </w:numPr>
              <w:pBdr>
                <w:top w:val="nil"/>
                <w:left w:val="nil"/>
                <w:bottom w:val="nil"/>
                <w:right w:val="nil"/>
                <w:between w:val="nil"/>
              </w:pBdr>
              <w:spacing w:after="0" w:line="240" w:lineRule="auto"/>
              <w:ind w:left="397" w:hanging="397"/>
              <w:rPr>
                <w:rFonts w:ascii="Arial" w:eastAsia="Arial" w:hAnsi="Arial" w:cs="Arial"/>
                <w:color w:val="000000"/>
              </w:rPr>
            </w:pPr>
            <w:r w:rsidRPr="00CA5FF6">
              <w:rPr>
                <w:rFonts w:ascii="Arial" w:eastAsia="Arial" w:hAnsi="Arial" w:cs="Arial"/>
                <w:color w:val="000000"/>
              </w:rPr>
              <w:t>Informes de Primaria</w:t>
            </w:r>
          </w:p>
          <w:p w:rsidR="00AB2FDB" w:rsidRPr="00CA5FF6" w:rsidRDefault="00AB2FDB" w:rsidP="00AB2FDB">
            <w:pPr>
              <w:numPr>
                <w:ilvl w:val="0"/>
                <w:numId w:val="2"/>
              </w:numPr>
              <w:pBdr>
                <w:top w:val="nil"/>
                <w:left w:val="nil"/>
                <w:bottom w:val="nil"/>
                <w:right w:val="nil"/>
                <w:between w:val="nil"/>
              </w:pBdr>
              <w:spacing w:after="0" w:line="240" w:lineRule="auto"/>
              <w:ind w:left="397" w:hanging="397"/>
              <w:rPr>
                <w:rFonts w:ascii="Arial" w:eastAsia="Arial" w:hAnsi="Arial" w:cs="Arial"/>
                <w:color w:val="000000"/>
              </w:rPr>
            </w:pPr>
            <w:r w:rsidRPr="00CA5FF6">
              <w:rPr>
                <w:rFonts w:ascii="Arial" w:eastAsia="Arial" w:hAnsi="Arial" w:cs="Arial"/>
                <w:color w:val="000000"/>
              </w:rPr>
              <w:t xml:space="preserve">Dictámenes de escolarización </w:t>
            </w:r>
            <w:proofErr w:type="spellStart"/>
            <w:r w:rsidRPr="00CA5FF6">
              <w:rPr>
                <w:rFonts w:ascii="Arial" w:eastAsia="Arial" w:hAnsi="Arial" w:cs="Arial"/>
                <w:color w:val="000000"/>
              </w:rPr>
              <w:t>ACNEE</w:t>
            </w:r>
            <w:proofErr w:type="spellEnd"/>
          </w:p>
          <w:p w:rsidR="00AB2FDB" w:rsidRPr="00CA5FF6" w:rsidRDefault="00AB2FDB" w:rsidP="00AB2FDB">
            <w:pPr>
              <w:numPr>
                <w:ilvl w:val="0"/>
                <w:numId w:val="2"/>
              </w:numPr>
              <w:pBdr>
                <w:top w:val="nil"/>
                <w:left w:val="nil"/>
                <w:bottom w:val="nil"/>
                <w:right w:val="nil"/>
                <w:between w:val="nil"/>
              </w:pBdr>
              <w:spacing w:after="0" w:line="240" w:lineRule="auto"/>
              <w:ind w:left="397" w:hanging="397"/>
              <w:rPr>
                <w:rFonts w:ascii="Arial" w:eastAsia="Arial" w:hAnsi="Arial" w:cs="Arial"/>
              </w:rPr>
            </w:pPr>
            <w:r w:rsidRPr="00CA5FF6">
              <w:rPr>
                <w:rFonts w:ascii="Arial" w:eastAsia="Arial" w:hAnsi="Arial" w:cs="Arial"/>
                <w:color w:val="000000"/>
              </w:rPr>
              <w:t xml:space="preserve">Informes psicopedagógicos </w:t>
            </w:r>
            <w:proofErr w:type="spellStart"/>
            <w:r w:rsidRPr="00CA5FF6">
              <w:rPr>
                <w:rFonts w:ascii="Arial" w:eastAsia="Arial" w:hAnsi="Arial" w:cs="Arial"/>
                <w:color w:val="000000"/>
              </w:rPr>
              <w:t>ACNEAE</w:t>
            </w:r>
            <w:proofErr w:type="spellEnd"/>
          </w:p>
        </w:tc>
      </w:tr>
    </w:tbl>
    <w:p w:rsidR="00DA4341" w:rsidRDefault="00AB2FDB"/>
    <w:sectPr w:rsidR="00DA4341" w:rsidSect="00AB2F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25D"/>
    <w:multiLevelType w:val="hybridMultilevel"/>
    <w:tmpl w:val="BA780486"/>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
    <w:nsid w:val="3F932595"/>
    <w:multiLevelType w:val="multilevel"/>
    <w:tmpl w:val="1E261168"/>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2625E9A"/>
    <w:multiLevelType w:val="multilevel"/>
    <w:tmpl w:val="E09C637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drawingGridHorizontalSpacing w:val="110"/>
  <w:displayHorizontalDrawingGridEvery w:val="2"/>
  <w:characterSpacingControl w:val="doNotCompress"/>
  <w:compat/>
  <w:rsids>
    <w:rsidRoot w:val="00AB2FDB"/>
    <w:rsid w:val="000151C2"/>
    <w:rsid w:val="00017D46"/>
    <w:rsid w:val="00021D7A"/>
    <w:rsid w:val="00041053"/>
    <w:rsid w:val="00046F04"/>
    <w:rsid w:val="000F4C5F"/>
    <w:rsid w:val="001B03DA"/>
    <w:rsid w:val="001D26E6"/>
    <w:rsid w:val="001D2F14"/>
    <w:rsid w:val="002344B5"/>
    <w:rsid w:val="00275379"/>
    <w:rsid w:val="00293067"/>
    <w:rsid w:val="002D2DE8"/>
    <w:rsid w:val="00386F93"/>
    <w:rsid w:val="0039018A"/>
    <w:rsid w:val="0039158A"/>
    <w:rsid w:val="003B0068"/>
    <w:rsid w:val="004049BE"/>
    <w:rsid w:val="00407CAC"/>
    <w:rsid w:val="00413D1B"/>
    <w:rsid w:val="00424FC1"/>
    <w:rsid w:val="00452A4D"/>
    <w:rsid w:val="00463080"/>
    <w:rsid w:val="005056D1"/>
    <w:rsid w:val="005C540F"/>
    <w:rsid w:val="005D3A1E"/>
    <w:rsid w:val="005E1F9D"/>
    <w:rsid w:val="00644CD8"/>
    <w:rsid w:val="00654119"/>
    <w:rsid w:val="007B4F71"/>
    <w:rsid w:val="007C3EF0"/>
    <w:rsid w:val="007D167C"/>
    <w:rsid w:val="00834A74"/>
    <w:rsid w:val="00862BE5"/>
    <w:rsid w:val="00880358"/>
    <w:rsid w:val="00883A19"/>
    <w:rsid w:val="00892E21"/>
    <w:rsid w:val="008C21A8"/>
    <w:rsid w:val="00956C0D"/>
    <w:rsid w:val="00967CCE"/>
    <w:rsid w:val="009E1B01"/>
    <w:rsid w:val="009F523C"/>
    <w:rsid w:val="00A67060"/>
    <w:rsid w:val="00AB2FDB"/>
    <w:rsid w:val="00AC76A0"/>
    <w:rsid w:val="00AE0A79"/>
    <w:rsid w:val="00BD5545"/>
    <w:rsid w:val="00D65CE6"/>
    <w:rsid w:val="00E01780"/>
    <w:rsid w:val="00E41796"/>
    <w:rsid w:val="00F42D2B"/>
    <w:rsid w:val="00F740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DB"/>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B2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1</cp:revision>
  <dcterms:created xsi:type="dcterms:W3CDTF">2022-01-13T12:37:00Z</dcterms:created>
  <dcterms:modified xsi:type="dcterms:W3CDTF">2022-01-13T12:39:00Z</dcterms:modified>
</cp:coreProperties>
</file>